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E4" w:rsidRDefault="008B5DE4" w:rsidP="008B5DE4">
      <w:pPr>
        <w:adjustRightInd w:val="0"/>
        <w:snapToGrid w:val="0"/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8B5DE4" w:rsidRDefault="008B5DE4" w:rsidP="008B5DE4">
      <w:pPr>
        <w:adjustRightInd w:val="0"/>
        <w:snapToGrid w:val="0"/>
        <w:spacing w:line="700" w:lineRule="exact"/>
        <w:jc w:val="center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济南市中小学（幼儿园）教师师德负面清单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rPr>
          <w:rFonts w:ascii="仿宋_GB2312" w:eastAsia="仿宋_GB2312" w:hAnsi="Times New Roman" w:hint="eastAsia"/>
          <w:color w:val="000000"/>
          <w:sz w:val="32"/>
          <w:szCs w:val="32"/>
        </w:rPr>
      </w:pP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对有下列情形之一的行为，一经查实，直接认定师德考核为“不合格”。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一、在教育教学活动中及其他场合有损害党中央权威、违背党的路线方针政策的言行。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二、有损害国家利益、社会公共利益，或违背社会公序良俗的言行。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三、通过课堂、论坛、讲座、信息网络及其他渠道发表、转发错误观点，或编造散布虚假信息、不良信息。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四、违反教学纪律，敷衍教学，或拒不服从学校正常工作安排，导致教育教学工作受影响的。</w:t>
      </w:r>
    </w:p>
    <w:p w:rsidR="008B5DE4" w:rsidRDefault="008B5DE4" w:rsidP="008B5DE4">
      <w:pPr>
        <w:ind w:firstLineChars="200" w:firstLine="628"/>
        <w:jc w:val="left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五、在教育教学活动和学生管理、评价中不公平公正对待学生，产生明显负面影响；体罚学生或侮辱、歧视等方式变相体罚学生，造成学生身心伤害。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六、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在教育教学活动中遇突发事件、面临危险时，不顾学生安危，擅离职守，自行逃离。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七、与学生发生不正当关系，有任何形式的猥亵、性骚扰行为。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八、在招生、考试、推优、保送及绩效考核、岗位聘用、职称评聘、评优评奖等工作中徇私舞弊、弄虚作假。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九、索要、收受学生及家长财物或参加由学生及家长付费的宴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请、旅游、娱乐休闲等活动，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违规向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学生推销图书报刊、教辅材料、社会保险或利用家长资源谋取私利。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十、组织、参与有偿补课，或为校外培训机构和他人介绍生源、提供相关信息，或擅自从事影响教育教学本职工作的兼职兼薪行为。</w:t>
      </w:r>
    </w:p>
    <w:p w:rsidR="008B5DE4" w:rsidRDefault="008B5DE4" w:rsidP="008B5DE4">
      <w:pPr>
        <w:adjustRightInd w:val="0"/>
        <w:snapToGrid w:val="0"/>
        <w:spacing w:line="600" w:lineRule="exact"/>
        <w:ind w:firstLineChars="200" w:firstLine="628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十一、其他严重违反职业道德的行为。</w:t>
      </w:r>
    </w:p>
    <w:p w:rsidR="008B5DE4" w:rsidRDefault="008B5DE4" w:rsidP="008B5DE4">
      <w:pPr>
        <w:adjustRightInd w:val="0"/>
        <w:snapToGrid w:val="0"/>
        <w:spacing w:line="600" w:lineRule="exact"/>
        <w:jc w:val="left"/>
        <w:rPr>
          <w:rFonts w:ascii="黑体" w:eastAsia="黑体" w:hAnsi="Times New Roman" w:hint="eastAsia"/>
          <w:color w:val="000000"/>
          <w:sz w:val="32"/>
          <w:szCs w:val="32"/>
        </w:rPr>
      </w:pPr>
    </w:p>
    <w:p w:rsidR="008B5DE4" w:rsidRDefault="008B5DE4" w:rsidP="008B5DE4">
      <w:pPr>
        <w:adjustRightInd w:val="0"/>
        <w:snapToGrid w:val="0"/>
        <w:spacing w:line="600" w:lineRule="exact"/>
        <w:jc w:val="left"/>
        <w:rPr>
          <w:rFonts w:ascii="黑体" w:eastAsia="黑体" w:hAnsi="Times New Roman" w:hint="eastAsia"/>
          <w:color w:val="000000"/>
          <w:sz w:val="32"/>
          <w:szCs w:val="32"/>
        </w:rPr>
      </w:pPr>
    </w:p>
    <w:p w:rsidR="008B5DE4" w:rsidRDefault="008B5DE4" w:rsidP="008B5DE4">
      <w:pPr>
        <w:adjustRightInd w:val="0"/>
        <w:snapToGrid w:val="0"/>
        <w:spacing w:line="600" w:lineRule="exact"/>
        <w:jc w:val="left"/>
        <w:rPr>
          <w:rFonts w:ascii="黑体" w:eastAsia="黑体" w:hint="eastAsia"/>
          <w:color w:val="000000"/>
          <w:szCs w:val="32"/>
        </w:rPr>
        <w:sectPr w:rsidR="008B5DE4" w:rsidSect="006C5F2A">
          <w:headerReference w:type="default" r:id="rId7"/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pgNumType w:fmt="numberInDash" w:start="1"/>
          <w:cols w:space="720"/>
          <w:docGrid w:type="linesAndChars" w:linePitch="597" w:charSpace="-1259"/>
        </w:sectPr>
      </w:pPr>
    </w:p>
    <w:p w:rsidR="008B5DE4" w:rsidRDefault="008B5DE4" w:rsidP="008B5DE4">
      <w:pPr>
        <w:adjustRightInd w:val="0"/>
        <w:snapToGrid w:val="0"/>
        <w:spacing w:line="600" w:lineRule="exact"/>
        <w:rPr>
          <w:rFonts w:ascii="黑体" w:eastAsia="黑体" w:hAnsi="Times New Roman" w:hint="eastAsia"/>
          <w:color w:val="000000"/>
          <w:sz w:val="32"/>
          <w:szCs w:val="32"/>
        </w:rPr>
      </w:pPr>
      <w:r>
        <w:rPr>
          <w:rFonts w:ascii="黑体" w:eastAsia="黑体" w:hAnsi="Times New Roman" w:hint="eastAsia"/>
          <w:color w:val="000000"/>
          <w:sz w:val="32"/>
          <w:szCs w:val="32"/>
        </w:rPr>
        <w:t>附件2</w:t>
      </w:r>
    </w:p>
    <w:p w:rsidR="008B5DE4" w:rsidRDefault="008B5DE4" w:rsidP="008B5DE4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36"/>
          <w:szCs w:val="36"/>
        </w:rPr>
        <w:t>济南市中小学（幼儿园）教师师德考核评分参考标准</w:t>
      </w:r>
    </w:p>
    <w:tbl>
      <w:tblPr>
        <w:tblW w:w="94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7155"/>
        <w:gridCol w:w="552"/>
        <w:gridCol w:w="666"/>
      </w:tblGrid>
      <w:tr w:rsidR="008B5DE4" w:rsidTr="006B6619">
        <w:trPr>
          <w:trHeight w:val="501"/>
          <w:tblHeader/>
          <w:jc w:val="center"/>
        </w:trPr>
        <w:tc>
          <w:tcPr>
            <w:tcW w:w="1044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考核项目</w:t>
            </w: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评分标准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参考</w:t>
            </w:r>
          </w:p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分值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得分</w:t>
            </w:r>
          </w:p>
        </w:tc>
      </w:tr>
      <w:tr w:rsidR="008B5DE4" w:rsidTr="006B6619">
        <w:trPr>
          <w:trHeight w:val="1287"/>
          <w:jc w:val="center"/>
        </w:trPr>
        <w:tc>
          <w:tcPr>
            <w:tcW w:w="1044" w:type="dxa"/>
            <w:vMerge w:val="restart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爱国守法</w:t>
            </w:r>
          </w:p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（12分）</w:t>
            </w: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1.坚定政治方向。坚持以习近平新时代中国特色社会主义思想为指导，拥护中国共产党的领导，贯彻党的教育方针，增强“四个意识”，坚定“四个自信”，做到</w:t>
            </w:r>
            <w:proofErr w:type="gramStart"/>
            <w:r>
              <w:rPr>
                <w:rFonts w:ascii="宋体" w:hAnsi="宋体" w:cs="黑体" w:hint="eastAsia"/>
                <w:color w:val="000000"/>
                <w:szCs w:val="21"/>
              </w:rPr>
              <w:t>”</w:t>
            </w:r>
            <w:proofErr w:type="gramEnd"/>
            <w:r>
              <w:rPr>
                <w:rFonts w:ascii="宋体" w:hAnsi="宋体" w:cs="黑体" w:hint="eastAsia"/>
                <w:color w:val="000000"/>
                <w:szCs w:val="21"/>
              </w:rPr>
              <w:t>两个维护</w:t>
            </w:r>
            <w:proofErr w:type="gramStart"/>
            <w:r>
              <w:rPr>
                <w:rFonts w:ascii="宋体" w:hAnsi="宋体" w:cs="黑体" w:hint="eastAsia"/>
                <w:color w:val="000000"/>
                <w:szCs w:val="21"/>
              </w:rPr>
              <w:t>”</w:t>
            </w:r>
            <w:proofErr w:type="gramEnd"/>
            <w:r>
              <w:rPr>
                <w:rFonts w:ascii="宋体" w:hAnsi="宋体" w:cs="黑体" w:hint="eastAsia"/>
                <w:color w:val="000000"/>
                <w:szCs w:val="21"/>
              </w:rPr>
              <w:t>；不得在教育教学活动中及其他场合有损害党中央权威、违背党的路线方针政策的言行。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6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2.自觉爱国守法。忠于祖国，忠于人民，恪守宪法原则，遵守法律法规，依法履行教师职责；不得损害国家利益、社会公共利益，或违背社会公序良俗。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6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 w:val="restart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爱岗敬业</w:t>
            </w:r>
          </w:p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（18分）</w:t>
            </w: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3.勤恳敬业，乐于奉献，认真履行工作职责，不得从事影响教育教学本职工作的兼职兼薪行为。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4.自觉遵守学校的各项管理规定，不迟到、不早退，出勤率高；服从学校及领导的工作安排，积极承担班主任工作及规定的课时量，按时保质完成工作任务。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5.积极参加学校组织的会议、学习、培训、考试等各项工作，并主动做好落实工作；积极承担课后延时服务。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6.对工作高度负责，认真备课、上课、批改作业，耐心辅导学生，认真组织考试考核，无擅自停课、调课、找人代课等现象。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329"/>
          <w:jc w:val="center"/>
        </w:trPr>
        <w:tc>
          <w:tcPr>
            <w:tcW w:w="1044" w:type="dxa"/>
            <w:vMerge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7.在工作时间不参与上网购物、玩游戏等与教育教学无关的活动。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8.关心集体，团结协作，尊重领导和同事，不搞小团伙，不得因工作矛盾而打击报复、故意造谣。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329"/>
          <w:jc w:val="center"/>
        </w:trPr>
        <w:tc>
          <w:tcPr>
            <w:tcW w:w="1044" w:type="dxa"/>
            <w:vMerge w:val="restart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关爱学生</w:t>
            </w:r>
          </w:p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（16分）</w:t>
            </w: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9.尊重学生人格，平等公正对待学生，不得讥讽、歧视、侮辱学生，无虐待、体罚或变相体罚学生的行为，不得指使或教唆学生体罚学生。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10.关心爱护学生，经常与学生谈心谈话。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11.注重学生的个性发展，正视学生差异，因材施教，不歧视后进生，不以成绩作为衡量学生的唯一标准。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96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12.落实全员岗位安全责任制，加强安全教育，关注学生心理健康，保护学生安全，防范事故风险；不得在教育教学活动中遇突发事件、面临危险时，不顾学生安危，擅离职守，自行逃离。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1287"/>
          <w:jc w:val="center"/>
        </w:trPr>
        <w:tc>
          <w:tcPr>
            <w:tcW w:w="1044" w:type="dxa"/>
            <w:vMerge w:val="restart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教书育人</w:t>
            </w:r>
          </w:p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（26分）</w:t>
            </w: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13.落实立德树人根本任务，将立德树人融入教育教学全过程，注重对学生进行思想教育、品德教育、纪律教育、法制教育、心理健康教育，引导学生坚定理想信念、厚植爱国主义情怀、加强品德修养、增长知识见识、</w:t>
            </w:r>
            <w:proofErr w:type="gramStart"/>
            <w:r>
              <w:rPr>
                <w:rFonts w:ascii="宋体" w:hAnsi="宋体" w:cs="黑体" w:hint="eastAsia"/>
                <w:color w:val="000000"/>
                <w:szCs w:val="21"/>
              </w:rPr>
              <w:t>培养奋斗</w:t>
            </w:r>
            <w:proofErr w:type="gramEnd"/>
            <w:r>
              <w:rPr>
                <w:rFonts w:ascii="宋体" w:hAnsi="宋体" w:cs="黑体" w:hint="eastAsia"/>
                <w:color w:val="000000"/>
                <w:szCs w:val="21"/>
              </w:rPr>
              <w:t>精神、增强综合素质。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14. 实施素质教育，遵循教育规律和学生成长规律，培养德智体美劳全面发展的社会主义建设者和接班人。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96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15.落实“双减”要求，提高课堂实效，科学设计作业，严格控制作业量，不布置机械性、重复性、惩罚性作业，不布置超越学生能力的作业，不布置要求家长完成或需要家长代劳的作业，不要求家长批改教师布置的作业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16.严格落实教育部中小学生“五项管理”要求，即手机管理、作业管理、睡眠管理、课外读物管理以及体质管理。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17.理解尊重家长，</w:t>
            </w:r>
            <w:proofErr w:type="gramStart"/>
            <w:r>
              <w:rPr>
                <w:rFonts w:ascii="宋体" w:hAnsi="宋体" w:cs="黑体" w:hint="eastAsia"/>
                <w:color w:val="000000"/>
                <w:szCs w:val="21"/>
              </w:rPr>
              <w:t>加强家</w:t>
            </w:r>
            <w:proofErr w:type="gramEnd"/>
            <w:r>
              <w:rPr>
                <w:rFonts w:ascii="宋体" w:hAnsi="宋体" w:cs="黑体" w:hint="eastAsia"/>
                <w:color w:val="000000"/>
                <w:szCs w:val="21"/>
              </w:rPr>
              <w:t>校联系，落实中小学教师家访制度，积极向家长宣传科学的教育理念。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329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18. 不得向学生推销教辅、报刊及其他商品，不得乱收学生费用。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19.不得组织、参与任何形式的有偿补课，不得为校外培训机构和他人介绍生源。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 w:val="restart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为人师表</w:t>
            </w:r>
          </w:p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（22分）</w:t>
            </w: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20.衣着得体，举止文明，以身作则，不在校园内吸烟，不在课堂上接打电话、讲脏话粗话。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96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21.廉洁自律，不得利用职务之便谋取私利，收受或变相索要家长或学生的财物，或接受家长宴请；不得要求或变相要求学生家长为教师办私事，不得刁难、指责、训斥家长。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96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22.带头</w:t>
            </w:r>
            <w:proofErr w:type="gramStart"/>
            <w:r>
              <w:rPr>
                <w:rFonts w:ascii="宋体" w:hAnsi="宋体" w:cs="黑体" w:hint="eastAsia"/>
                <w:color w:val="000000"/>
                <w:szCs w:val="21"/>
              </w:rPr>
              <w:t>践行</w:t>
            </w:r>
            <w:proofErr w:type="gramEnd"/>
            <w:r>
              <w:rPr>
                <w:rFonts w:ascii="宋体" w:hAnsi="宋体" w:cs="黑体" w:hint="eastAsia"/>
                <w:color w:val="000000"/>
                <w:szCs w:val="21"/>
              </w:rPr>
              <w:t>社会主义核心价值观，弘扬真善美，</w:t>
            </w:r>
            <w:proofErr w:type="gramStart"/>
            <w:r>
              <w:rPr>
                <w:rFonts w:ascii="宋体" w:hAnsi="宋体" w:cs="黑体" w:hint="eastAsia"/>
                <w:color w:val="000000"/>
                <w:szCs w:val="21"/>
              </w:rPr>
              <w:t>传递正</w:t>
            </w:r>
            <w:proofErr w:type="gramEnd"/>
            <w:r>
              <w:rPr>
                <w:rFonts w:ascii="宋体" w:hAnsi="宋体" w:cs="黑体" w:hint="eastAsia"/>
                <w:color w:val="000000"/>
                <w:szCs w:val="21"/>
              </w:rPr>
              <w:t>能量，不得通过课堂、论坛、讲座、信息网络及其他渠道发表、转发错误观点，或编造散布虚假信息、不良信息。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96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23.公平诚信，坚持原则，处事公道，光明磊落，为人正直；不得在招生、考试、推优、保送及绩效考核、岗位聘用、职称评聘、评优评奖等工作中徇私舞弊、弄虚作假。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24. 作风正派，自重自爱，不得与学生发生不正当关系，严禁任何形式的猥亵和性骚扰行为。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6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 w:val="restart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终身学习（6分）</w:t>
            </w: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25. 崇尚科学精神，树立终身学习理念，不断拓宽知识视野，及时更新知识结构。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648"/>
          <w:jc w:val="center"/>
        </w:trPr>
        <w:tc>
          <w:tcPr>
            <w:tcW w:w="1044" w:type="dxa"/>
            <w:vMerge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26. 积极参加各种形式的专业培训和教育教学经验交流活动，不断提高专业素养和教育教学水平。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1287"/>
          <w:jc w:val="center"/>
        </w:trPr>
        <w:tc>
          <w:tcPr>
            <w:tcW w:w="1044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加分项</w:t>
            </w: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本年度获得县级以上道德荣誉称号的，或爱岗敬业、志愿服务、见义勇为、拾金不昧、孝老爱亲、慈善公益等行为本年度内被区县级以上媒体宣传报道的，每件事情可根据国家、省、市、县等级别分别加5、2、1、0.5分；同一件事情不重复加分，按照最高级别加分。每年加分值不超过5分。</w:t>
            </w:r>
          </w:p>
        </w:tc>
        <w:tc>
          <w:tcPr>
            <w:tcW w:w="552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5</w:t>
            </w:r>
          </w:p>
        </w:tc>
        <w:tc>
          <w:tcPr>
            <w:tcW w:w="666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  <w:tr w:rsidR="008B5DE4" w:rsidTr="006B6619">
        <w:trPr>
          <w:trHeight w:val="530"/>
          <w:jc w:val="center"/>
        </w:trPr>
        <w:tc>
          <w:tcPr>
            <w:tcW w:w="1044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总分</w:t>
            </w:r>
          </w:p>
        </w:tc>
        <w:tc>
          <w:tcPr>
            <w:tcW w:w="715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每年度得分累计不超过100分。</w:t>
            </w:r>
          </w:p>
        </w:tc>
        <w:tc>
          <w:tcPr>
            <w:tcW w:w="1218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380" w:lineRule="exact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</w:tr>
    </w:tbl>
    <w:p w:rsidR="008B5DE4" w:rsidRDefault="008B5DE4" w:rsidP="008B5DE4">
      <w:pPr>
        <w:adjustRightInd w:val="0"/>
        <w:snapToGrid w:val="0"/>
        <w:spacing w:line="600" w:lineRule="exact"/>
        <w:rPr>
          <w:rFonts w:ascii="黑体" w:eastAsia="黑体" w:hint="eastAsia"/>
          <w:color w:val="000000"/>
        </w:rPr>
        <w:sectPr w:rsidR="008B5DE4" w:rsidSect="00405991">
          <w:footerReference w:type="default" r:id="rId10"/>
          <w:pgSz w:w="11906" w:h="16838"/>
          <w:pgMar w:top="1587" w:right="1417" w:bottom="1417" w:left="1417" w:header="851" w:footer="992" w:gutter="0"/>
          <w:pgNumType w:fmt="numberInDash" w:start="9"/>
          <w:cols w:space="720"/>
          <w:docGrid w:type="linesAndChars" w:linePitch="597" w:charSpace="-1259"/>
        </w:sectPr>
      </w:pPr>
    </w:p>
    <w:p w:rsidR="008B5DE4" w:rsidRDefault="008B5DE4" w:rsidP="008B5DE4">
      <w:pPr>
        <w:adjustRightInd w:val="0"/>
        <w:snapToGrid w:val="0"/>
        <w:spacing w:line="600" w:lineRule="exact"/>
        <w:rPr>
          <w:rFonts w:ascii="黑体" w:eastAsia="黑体" w:hAnsi="Times New Roman" w:hint="eastAsia"/>
          <w:color w:val="000000"/>
          <w:sz w:val="32"/>
        </w:rPr>
      </w:pPr>
      <w:r>
        <w:rPr>
          <w:rFonts w:ascii="黑体" w:eastAsia="黑体" w:hAnsi="Times New Roman" w:hint="eastAsia"/>
          <w:color w:val="000000"/>
          <w:sz w:val="32"/>
        </w:rPr>
        <w:t>附件3</w:t>
      </w:r>
    </w:p>
    <w:p w:rsidR="008B5DE4" w:rsidRDefault="008B5DE4" w:rsidP="008B5DE4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w w:val="95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w w:val="95"/>
          <w:sz w:val="44"/>
          <w:szCs w:val="44"/>
        </w:rPr>
        <w:t>济南市中小学（幼儿园）教师师德考核鉴定表</w:t>
      </w:r>
    </w:p>
    <w:p w:rsidR="008B5DE4" w:rsidRDefault="008B5DE4" w:rsidP="008B5DE4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</w:rPr>
        <w:t>(    年度)</w:t>
      </w:r>
    </w:p>
    <w:p w:rsidR="008B5DE4" w:rsidRDefault="008B5DE4" w:rsidP="008B5DE4">
      <w:pPr>
        <w:widowControl/>
        <w:adjustRightInd w:val="0"/>
        <w:snapToGrid w:val="0"/>
        <w:spacing w:line="600" w:lineRule="exact"/>
        <w:rPr>
          <w:rFonts w:ascii="楷体_GB2312" w:eastAsia="楷体_GB2312" w:hAnsi="Times New Roman" w:hint="eastAsia"/>
          <w:color w:val="000000"/>
          <w:kern w:val="0"/>
          <w:sz w:val="28"/>
        </w:rPr>
      </w:pPr>
      <w:r>
        <w:rPr>
          <w:rFonts w:ascii="楷体_GB2312" w:eastAsia="楷体_GB2312" w:hAnsi="Times New Roman" w:hint="eastAsia"/>
          <w:color w:val="000000"/>
          <w:kern w:val="0"/>
          <w:sz w:val="28"/>
        </w:rPr>
        <w:t>所在单位（盖章）：</w:t>
      </w:r>
    </w:p>
    <w:tbl>
      <w:tblPr>
        <w:tblW w:w="87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1614"/>
        <w:gridCol w:w="1275"/>
        <w:gridCol w:w="1287"/>
        <w:gridCol w:w="1378"/>
        <w:gridCol w:w="1515"/>
      </w:tblGrid>
      <w:tr w:rsidR="008B5DE4" w:rsidTr="006B6619">
        <w:trPr>
          <w:cantSplit/>
          <w:trHeight w:val="492"/>
          <w:jc w:val="center"/>
        </w:trPr>
        <w:tc>
          <w:tcPr>
            <w:tcW w:w="172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姓  名</w:t>
            </w:r>
          </w:p>
        </w:tc>
        <w:tc>
          <w:tcPr>
            <w:tcW w:w="1614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性  别</w:t>
            </w:r>
          </w:p>
        </w:tc>
        <w:tc>
          <w:tcPr>
            <w:tcW w:w="1287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515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</w:tr>
      <w:tr w:rsidR="008B5DE4" w:rsidTr="006B6619">
        <w:trPr>
          <w:cantSplit/>
          <w:trHeight w:val="535"/>
          <w:jc w:val="center"/>
        </w:trPr>
        <w:tc>
          <w:tcPr>
            <w:tcW w:w="172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1614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参加工作</w:t>
            </w: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1287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文化程度</w:t>
            </w:r>
          </w:p>
        </w:tc>
        <w:tc>
          <w:tcPr>
            <w:tcW w:w="1515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</w:tr>
      <w:tr w:rsidR="008B5DE4" w:rsidTr="006B6619">
        <w:trPr>
          <w:cantSplit/>
          <w:trHeight w:val="518"/>
          <w:jc w:val="center"/>
        </w:trPr>
        <w:tc>
          <w:tcPr>
            <w:tcW w:w="172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</w:rPr>
              <w:t>任教学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</w:rPr>
              <w:t>段学科</w:t>
            </w:r>
          </w:p>
        </w:tc>
        <w:tc>
          <w:tcPr>
            <w:tcW w:w="1614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现聘职称</w:t>
            </w:r>
          </w:p>
        </w:tc>
        <w:tc>
          <w:tcPr>
            <w:tcW w:w="1287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是否担任</w:t>
            </w: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班主任</w:t>
            </w:r>
          </w:p>
        </w:tc>
        <w:tc>
          <w:tcPr>
            <w:tcW w:w="1515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</w:tr>
      <w:tr w:rsidR="008B5DE4" w:rsidTr="006B6619">
        <w:trPr>
          <w:cantSplit/>
          <w:trHeight w:val="518"/>
          <w:jc w:val="center"/>
        </w:trPr>
        <w:tc>
          <w:tcPr>
            <w:tcW w:w="172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师德考核等次</w:t>
            </w:r>
          </w:p>
        </w:tc>
        <w:tc>
          <w:tcPr>
            <w:tcW w:w="4176" w:type="dxa"/>
            <w:gridSpan w:val="3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师德</w:t>
            </w: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考核得分</w:t>
            </w:r>
          </w:p>
        </w:tc>
        <w:tc>
          <w:tcPr>
            <w:tcW w:w="1515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</w:tc>
      </w:tr>
      <w:tr w:rsidR="008B5DE4" w:rsidTr="006B6619">
        <w:trPr>
          <w:cantSplit/>
          <w:trHeight w:val="2950"/>
          <w:jc w:val="center"/>
        </w:trPr>
        <w:tc>
          <w:tcPr>
            <w:tcW w:w="172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师德表现</w:t>
            </w: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自我评价</w:t>
            </w:r>
          </w:p>
        </w:tc>
        <w:tc>
          <w:tcPr>
            <w:tcW w:w="7069" w:type="dxa"/>
            <w:gridSpan w:val="5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400" w:firstLine="3834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400" w:firstLine="3834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400" w:firstLine="3834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400" w:firstLine="3834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400" w:firstLine="3834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400" w:firstLine="3834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400" w:firstLine="3834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400" w:firstLine="3834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400" w:firstLine="3834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34" w:firstLine="3105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本人签字：</w:t>
            </w: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534" w:firstLine="4201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年  月  日        </w:t>
            </w:r>
          </w:p>
        </w:tc>
      </w:tr>
      <w:tr w:rsidR="008B5DE4" w:rsidTr="006B6619">
        <w:trPr>
          <w:cantSplit/>
          <w:trHeight w:val="4492"/>
          <w:jc w:val="center"/>
        </w:trPr>
        <w:tc>
          <w:tcPr>
            <w:tcW w:w="172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考核工作小组</w:t>
            </w: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综合评价</w:t>
            </w:r>
          </w:p>
        </w:tc>
        <w:tc>
          <w:tcPr>
            <w:tcW w:w="7069" w:type="dxa"/>
            <w:gridSpan w:val="5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组长签字：</w:t>
            </w: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500" w:firstLine="4108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年  月  日        </w:t>
            </w:r>
          </w:p>
        </w:tc>
      </w:tr>
      <w:tr w:rsidR="008B5DE4" w:rsidTr="006B6619">
        <w:trPr>
          <w:cantSplit/>
          <w:trHeight w:val="2579"/>
          <w:jc w:val="center"/>
        </w:trPr>
        <w:tc>
          <w:tcPr>
            <w:tcW w:w="1728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学校意见</w:t>
            </w:r>
          </w:p>
        </w:tc>
        <w:tc>
          <w:tcPr>
            <w:tcW w:w="7069" w:type="dxa"/>
            <w:gridSpan w:val="5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100" w:firstLine="3012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主要负责人签字：</w:t>
            </w:r>
          </w:p>
          <w:p w:rsidR="008B5DE4" w:rsidRDefault="008B5DE4" w:rsidP="006B6619">
            <w:pPr>
              <w:widowControl/>
              <w:adjustRightInd w:val="0"/>
              <w:snapToGrid w:val="0"/>
              <w:spacing w:line="600" w:lineRule="exact"/>
              <w:ind w:firstLineChars="1800" w:firstLine="4929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年  月  日 </w:t>
            </w:r>
          </w:p>
        </w:tc>
      </w:tr>
    </w:tbl>
    <w:p w:rsidR="008B5DE4" w:rsidRDefault="008B5DE4" w:rsidP="008B5DE4">
      <w:pPr>
        <w:adjustRightInd w:val="0"/>
        <w:snapToGrid w:val="0"/>
        <w:spacing w:line="600" w:lineRule="exact"/>
        <w:rPr>
          <w:rFonts w:ascii="宋体" w:hAnsi="宋体"/>
          <w:color w:val="000000"/>
        </w:rPr>
        <w:sectPr w:rsidR="008B5DE4" w:rsidSect="00405991">
          <w:footerReference w:type="default" r:id="rId11"/>
          <w:pgSz w:w="11906" w:h="16838"/>
          <w:pgMar w:top="1587" w:right="1417" w:bottom="1417" w:left="1417" w:header="851" w:footer="992" w:gutter="0"/>
          <w:pgNumType w:fmt="numberInDash" w:start="11"/>
          <w:cols w:space="720"/>
          <w:docGrid w:type="linesAndChars" w:linePitch="597" w:charSpace="-1259"/>
        </w:sectPr>
      </w:pPr>
    </w:p>
    <w:p w:rsidR="008B5DE4" w:rsidRDefault="008B5DE4" w:rsidP="008B5DE4">
      <w:pPr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</w:rPr>
      </w:pPr>
      <w:r>
        <w:rPr>
          <w:rFonts w:ascii="黑体" w:eastAsia="黑体" w:hAnsi="黑体"/>
          <w:color w:val="000000"/>
          <w:sz w:val="32"/>
        </w:rPr>
        <w:t>附件</w:t>
      </w:r>
      <w:r>
        <w:rPr>
          <w:rFonts w:ascii="黑体" w:eastAsia="黑体" w:hAnsi="黑体" w:hint="eastAsia"/>
          <w:color w:val="000000"/>
          <w:sz w:val="32"/>
        </w:rPr>
        <w:t>4</w:t>
      </w:r>
    </w:p>
    <w:p w:rsidR="008B5DE4" w:rsidRDefault="008B5DE4" w:rsidP="008B5DE4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w w:val="95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w w:val="95"/>
          <w:sz w:val="44"/>
          <w:szCs w:val="44"/>
        </w:rPr>
        <w:t>济南市中小学（幼儿园）教师师德考核统计表</w:t>
      </w:r>
    </w:p>
    <w:p w:rsidR="008B5DE4" w:rsidRDefault="008B5DE4" w:rsidP="008B5DE4">
      <w:pPr>
        <w:widowControl/>
        <w:snapToGrid w:val="0"/>
        <w:spacing w:line="60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</w:rPr>
        <w:t>(    年度)</w:t>
      </w:r>
    </w:p>
    <w:p w:rsidR="008B5DE4" w:rsidRPr="006C5F2A" w:rsidRDefault="008B5DE4" w:rsidP="008B5DE4">
      <w:pPr>
        <w:widowControl/>
        <w:snapToGrid w:val="0"/>
        <w:spacing w:line="50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 w:val="28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705"/>
        <w:gridCol w:w="703"/>
        <w:gridCol w:w="1672"/>
        <w:gridCol w:w="339"/>
        <w:gridCol w:w="740"/>
        <w:gridCol w:w="358"/>
        <w:gridCol w:w="518"/>
        <w:gridCol w:w="1230"/>
        <w:gridCol w:w="65"/>
        <w:gridCol w:w="1248"/>
      </w:tblGrid>
      <w:tr w:rsidR="008B5DE4" w:rsidTr="006B6619">
        <w:trPr>
          <w:trHeight w:val="567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78" w:type="dxa"/>
            <w:gridSpan w:val="10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567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单位总 人数</w:t>
            </w:r>
          </w:p>
        </w:tc>
        <w:tc>
          <w:tcPr>
            <w:tcW w:w="1408" w:type="dxa"/>
            <w:gridSpan w:val="2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098" w:type="dxa"/>
            <w:gridSpan w:val="2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313" w:type="dxa"/>
            <w:gridSpan w:val="2"/>
            <w:vAlign w:val="center"/>
          </w:tcPr>
          <w:p w:rsidR="008B5DE4" w:rsidRDefault="008B5DE4" w:rsidP="006B6619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567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408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良好与合格  人数</w:t>
            </w:r>
          </w:p>
        </w:tc>
        <w:tc>
          <w:tcPr>
            <w:tcW w:w="1098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313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2268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考核工作小组负责人签字</w:t>
            </w:r>
          </w:p>
        </w:tc>
        <w:tc>
          <w:tcPr>
            <w:tcW w:w="3419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419" w:type="dxa"/>
            <w:gridSpan w:val="5"/>
            <w:vAlign w:val="bottom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ind w:right="56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8B5DE4" w:rsidRDefault="008B5DE4" w:rsidP="006B6619">
            <w:pPr>
              <w:adjustRightInd w:val="0"/>
              <w:snapToGrid w:val="0"/>
              <w:spacing w:line="440" w:lineRule="atLeast"/>
              <w:ind w:right="560" w:firstLineChars="600" w:firstLine="168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8B5DE4" w:rsidRDefault="008B5DE4" w:rsidP="006B6619">
            <w:pPr>
              <w:adjustRightInd w:val="0"/>
              <w:snapToGrid w:val="0"/>
              <w:spacing w:line="440" w:lineRule="atLeast"/>
              <w:ind w:firstLineChars="600" w:firstLine="168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B5DE4" w:rsidTr="006B6619">
        <w:trPr>
          <w:trHeight w:val="487"/>
          <w:jc w:val="center"/>
        </w:trPr>
        <w:tc>
          <w:tcPr>
            <w:tcW w:w="8845" w:type="dxa"/>
            <w:gridSpan w:val="11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参加考核人员花名册                                                    （按“优秀”、“良好”、“合格”“不合格”顺序填写）</w:t>
            </w: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段学科</w:t>
            </w: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现聘职称</w:t>
            </w: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考核结果</w:t>
            </w: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B5DE4" w:rsidTr="006B6619">
        <w:trPr>
          <w:trHeight w:val="420"/>
          <w:jc w:val="center"/>
        </w:trPr>
        <w:tc>
          <w:tcPr>
            <w:tcW w:w="1267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B5DE4" w:rsidRDefault="008B5DE4" w:rsidP="006B6619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8B5DE4" w:rsidRDefault="008B5DE4" w:rsidP="008B5DE4">
      <w:pPr>
        <w:tabs>
          <w:tab w:val="left" w:pos="9020"/>
        </w:tabs>
        <w:spacing w:line="500" w:lineRule="exact"/>
        <w:ind w:right="51"/>
        <w:rPr>
          <w:rFonts w:ascii="仿宋_GB2312" w:hAnsi="仿宋_GB2312" w:cs="仿宋_GB2312" w:hint="eastAsia"/>
          <w:color w:val="000000"/>
          <w:szCs w:val="32"/>
        </w:rPr>
      </w:pPr>
    </w:p>
    <w:p w:rsidR="00D24432" w:rsidRDefault="008B5DE4">
      <w:bookmarkStart w:id="0" w:name="_GoBack"/>
      <w:bookmarkEnd w:id="0"/>
    </w:p>
    <w:sectPr w:rsidR="00D2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E4" w:rsidRDefault="008B5DE4" w:rsidP="008B5DE4">
      <w:r>
        <w:separator/>
      </w:r>
    </w:p>
  </w:endnote>
  <w:endnote w:type="continuationSeparator" w:id="0">
    <w:p w:rsidR="008B5DE4" w:rsidRDefault="008B5DE4" w:rsidP="008B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E4" w:rsidRDefault="008B5DE4">
    <w:pPr>
      <w:framePr w:wrap="around" w:vAnchor="text" w:hAnchor="margin" w:xAlign="outside" w:y="1"/>
      <w:snapToGrid w:val="0"/>
      <w:jc w:val="left"/>
      <w:rPr>
        <w:rStyle w:val="a5"/>
        <w:sz w:val="18"/>
        <w:szCs w:val="18"/>
      </w:rPr>
    </w:pPr>
    <w:r>
      <w:rPr>
        <w:rStyle w:val="a5"/>
        <w:sz w:val="18"/>
        <w:szCs w:val="18"/>
      </w:rPr>
      <w:fldChar w:fldCharType="begin"/>
    </w:r>
    <w:r>
      <w:rPr>
        <w:rStyle w:val="a5"/>
        <w:sz w:val="18"/>
        <w:szCs w:val="18"/>
      </w:rPr>
      <w:instrText xml:space="preserve">PAGE  </w:instrText>
    </w:r>
    <w:r>
      <w:rPr>
        <w:rStyle w:val="a5"/>
        <w:sz w:val="18"/>
        <w:szCs w:val="18"/>
      </w:rPr>
      <w:fldChar w:fldCharType="separate"/>
    </w:r>
    <w:r>
      <w:rPr>
        <w:rStyle w:val="a5"/>
        <w:noProof/>
        <w:sz w:val="18"/>
        <w:szCs w:val="18"/>
      </w:rPr>
      <w:t>- 14 -</w:t>
    </w:r>
    <w:r>
      <w:rPr>
        <w:rStyle w:val="a5"/>
        <w:sz w:val="18"/>
        <w:szCs w:val="18"/>
      </w:rPr>
      <w:fldChar w:fldCharType="end"/>
    </w:r>
  </w:p>
  <w:p w:rsidR="008B5DE4" w:rsidRDefault="008B5DE4">
    <w:pPr>
      <w:snapToGrid w:val="0"/>
      <w:ind w:right="360" w:firstLine="360"/>
      <w:jc w:val="lef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E4" w:rsidRDefault="008B5DE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8B5DE4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8B5DE4" w:rsidRDefault="008B5DE4">
    <w:pPr>
      <w:snapToGrid w:val="0"/>
      <w:ind w:right="360" w:firstLine="360"/>
      <w:jc w:val="left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E4" w:rsidRDefault="008B5DE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8B5DE4">
      <w:rPr>
        <w:noProof/>
        <w:lang w:val="zh-CN"/>
      </w:rPr>
      <w:t>-</w:t>
    </w:r>
    <w:r>
      <w:rPr>
        <w:noProof/>
      </w:rPr>
      <w:t xml:space="preserve"> 9 -</w:t>
    </w:r>
    <w:r>
      <w:fldChar w:fldCharType="end"/>
    </w:r>
  </w:p>
  <w:p w:rsidR="008B5DE4" w:rsidRDefault="008B5DE4">
    <w:pPr>
      <w:snapToGrid w:val="0"/>
      <w:ind w:right="360" w:firstLine="360"/>
      <w:jc w:val="left"/>
      <w:rPr>
        <w:rFonts w:ascii="Times New Roman" w:hAnsi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E4" w:rsidRDefault="008B5DE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8B5DE4">
      <w:rPr>
        <w:noProof/>
        <w:lang w:val="zh-CN"/>
      </w:rPr>
      <w:t>-</w:t>
    </w:r>
    <w:r>
      <w:rPr>
        <w:noProof/>
      </w:rPr>
      <w:t xml:space="preserve"> 11 -</w:t>
    </w:r>
    <w:r>
      <w:fldChar w:fldCharType="end"/>
    </w:r>
  </w:p>
  <w:p w:rsidR="008B5DE4" w:rsidRDefault="008B5DE4">
    <w:pPr>
      <w:snapToGrid w:val="0"/>
      <w:ind w:right="360" w:firstLine="360"/>
      <w:jc w:val="lef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E4" w:rsidRDefault="008B5DE4" w:rsidP="008B5DE4">
      <w:r>
        <w:separator/>
      </w:r>
    </w:p>
  </w:footnote>
  <w:footnote w:type="continuationSeparator" w:id="0">
    <w:p w:rsidR="008B5DE4" w:rsidRDefault="008B5DE4" w:rsidP="008B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E4" w:rsidRDefault="008B5DE4">
    <w:pPr>
      <w:snapToGrid w:val="0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4C"/>
    <w:rsid w:val="003107E6"/>
    <w:rsid w:val="004F7C4C"/>
    <w:rsid w:val="008B5DE4"/>
    <w:rsid w:val="00C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DE4"/>
    <w:rPr>
      <w:sz w:val="18"/>
      <w:szCs w:val="18"/>
    </w:rPr>
  </w:style>
  <w:style w:type="character" w:styleId="a5">
    <w:name w:val="page number"/>
    <w:qFormat/>
    <w:rsid w:val="008B5DE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DE4"/>
    <w:rPr>
      <w:sz w:val="18"/>
      <w:szCs w:val="18"/>
    </w:rPr>
  </w:style>
  <w:style w:type="character" w:styleId="a5">
    <w:name w:val="page number"/>
    <w:qFormat/>
    <w:rsid w:val="008B5DE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2022-10-22T08:32:00Z</dcterms:created>
  <dcterms:modified xsi:type="dcterms:W3CDTF">2022-10-22T08:33:00Z</dcterms:modified>
</cp:coreProperties>
</file>