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center"/>
        <w:outlineLvl w:val="1"/>
        <w:rPr>
          <w:rFonts w:ascii="方正小标宋简体" w:hAnsi="黑体" w:eastAsia="方正小标宋简体" w:cs="宋体"/>
          <w:w w:val="9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黑体" w:eastAsia="方正小标宋简体" w:cs="宋体"/>
          <w:w w:val="90"/>
          <w:kern w:val="0"/>
          <w:sz w:val="32"/>
          <w:szCs w:val="32"/>
        </w:rPr>
        <w:t>附件3：济南市20</w:t>
      </w:r>
      <w:r>
        <w:rPr>
          <w:rFonts w:ascii="方正小标宋简体" w:hAnsi="黑体" w:eastAsia="方正小标宋简体" w:cs="宋体"/>
          <w:w w:val="90"/>
          <w:kern w:val="0"/>
          <w:sz w:val="32"/>
          <w:szCs w:val="32"/>
        </w:rPr>
        <w:t>22</w:t>
      </w:r>
      <w:r>
        <w:rPr>
          <w:rFonts w:hint="eastAsia" w:ascii="方正小标宋简体" w:hAnsi="黑体" w:eastAsia="方正小标宋简体" w:cs="宋体"/>
          <w:w w:val="90"/>
          <w:kern w:val="0"/>
          <w:sz w:val="32"/>
          <w:szCs w:val="32"/>
        </w:rPr>
        <w:t>年第二批次中小学教师资格认定申请人疫情防控告知书</w:t>
      </w:r>
    </w:p>
    <w:bookmarkEnd w:id="0"/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一、参加2022年济南市第二批次中小学教师资格认定的申请人，请务必在现场确认前申领“山东省电子健康通行码”。健康码为非绿码的考生，要提前向认定区县疫情防控领导小组进行报备，以便进行相应处置。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三、申请人进入审核现场时，须接受体温测量、扫场所码、核验山东省电子健康通行码、行程卡和有效身份证件。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四、有下列情形的申请人不得进行现场审核：治愈出院的确诊病例和无症状感染者、确诊病例、疑似病例、无症状感染者和尚在隔离观察期的密切接触者、次密接；近 14 天有发热、咳嗽等症状未痊愈且未排除传染病及身体不适者；28 天内有境外旅居史和接触史的；21 天内有国内中、高风险等疫情重点地区旅居史和接触史的；居住社区 21 天内发生疫情的。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五、审核当天，若申请人审核期间出现咳嗽、乏力、腹泻、发热等症状，经专业评估和综合研判，能继续审核的，安排在备用隔离审核点审核。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六、请申请人加强防疫知识学习，现场审核前主动减少外出和不必要的聚集、人员接触。每日自觉进行体温测量、记录及健康状况监测。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七、请申请人预留充足入场时间，听从审核现场工作人员指挥，保持“一米线”，排队有序入场。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八、申请人参加审核时应自备一次性医用外科口罩，除接受身份核验时按要求摘下口罩外，进出审核点以及审核期间应全程佩戴口罩。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九、参加审核时，请申请人备齐个人防护用品，严格做好个人防护，合理安排交通和食宿，注意饮食卫生。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bCs/>
        </w:rPr>
      </w:pPr>
      <w:r>
        <w:rPr>
          <w:rFonts w:hint="eastAsia" w:ascii="仿宋_GB2312" w:eastAsia="仿宋_GB2312"/>
          <w:sz w:val="32"/>
          <w:szCs w:val="32"/>
        </w:rPr>
        <w:t>十、济南市疾控部门联系方式： 0531-81278816</w:t>
      </w:r>
    </w:p>
    <w:p>
      <w:pPr>
        <w:rPr>
          <w:rStyle w:val="4"/>
          <w:rFonts w:hint="eastAsia" w:ascii="黑体" w:eastAsia="黑体"/>
          <w:b w:val="0"/>
          <w:sz w:val="32"/>
          <w:szCs w:val="32"/>
          <w:shd w:val="clear" w:color="auto" w:fill="FFFFFF"/>
        </w:rPr>
      </w:pPr>
    </w:p>
    <w:p>
      <w:pPr>
        <w:rPr>
          <w:rStyle w:val="4"/>
          <w:rFonts w:hint="eastAsia" w:ascii="黑体" w:eastAsia="黑体"/>
          <w:b w:val="0"/>
          <w:sz w:val="32"/>
          <w:szCs w:val="32"/>
          <w:shd w:val="clear" w:color="auto" w:fill="FFFFFF"/>
        </w:rPr>
      </w:pPr>
    </w:p>
    <w:p>
      <w:pPr>
        <w:rPr>
          <w:rStyle w:val="4"/>
          <w:rFonts w:hint="eastAsia" w:ascii="黑体" w:eastAsia="黑体"/>
          <w:b w:val="0"/>
          <w:sz w:val="32"/>
          <w:szCs w:val="32"/>
          <w:shd w:val="clear" w:color="auto" w:fill="FFFFFF"/>
        </w:rPr>
      </w:pPr>
    </w:p>
    <w:p>
      <w:pPr>
        <w:rPr>
          <w:rStyle w:val="4"/>
          <w:rFonts w:hint="eastAsia" w:ascii="黑体" w:eastAsia="黑体"/>
          <w:b w:val="0"/>
          <w:sz w:val="32"/>
          <w:szCs w:val="32"/>
          <w:shd w:val="clear" w:color="auto" w:fill="FFFFFF"/>
        </w:rPr>
      </w:pPr>
    </w:p>
    <w:p>
      <w:pPr>
        <w:rPr>
          <w:rStyle w:val="4"/>
          <w:rFonts w:hint="eastAsia" w:ascii="黑体" w:eastAsia="黑体"/>
          <w:b w:val="0"/>
          <w:sz w:val="32"/>
          <w:szCs w:val="32"/>
          <w:shd w:val="clear" w:color="auto" w:fill="FFFFFF"/>
        </w:rPr>
      </w:pPr>
    </w:p>
    <w:p>
      <w:pPr>
        <w:rPr>
          <w:rStyle w:val="4"/>
          <w:rFonts w:hint="eastAsia" w:ascii="黑体" w:eastAsia="黑体"/>
          <w:b w:val="0"/>
          <w:sz w:val="32"/>
          <w:szCs w:val="32"/>
          <w:shd w:val="clear" w:color="auto" w:fill="FFFFFF"/>
        </w:rPr>
      </w:pPr>
    </w:p>
    <w:p>
      <w:pPr>
        <w:rPr>
          <w:rStyle w:val="4"/>
          <w:rFonts w:hint="eastAsia" w:ascii="黑体" w:eastAsia="黑体"/>
          <w:b w:val="0"/>
          <w:sz w:val="32"/>
          <w:szCs w:val="32"/>
          <w:shd w:val="clear" w:color="auto" w:fill="FFFFFF"/>
        </w:rPr>
      </w:pPr>
    </w:p>
    <w:p>
      <w:pPr>
        <w:rPr>
          <w:rStyle w:val="4"/>
          <w:rFonts w:hint="eastAsia" w:ascii="黑体" w:eastAsia="黑体"/>
          <w:b w:val="0"/>
          <w:sz w:val="32"/>
          <w:szCs w:val="32"/>
          <w:shd w:val="clear" w:color="auto" w:fill="FFFFFF"/>
        </w:rPr>
      </w:pPr>
    </w:p>
    <w:p>
      <w:pPr>
        <w:rPr>
          <w:rStyle w:val="4"/>
          <w:rFonts w:hint="eastAsia" w:ascii="黑体" w:eastAsia="黑体"/>
          <w:b w:val="0"/>
          <w:sz w:val="32"/>
          <w:szCs w:val="32"/>
          <w:shd w:val="clear" w:color="auto" w:fill="FFFFFF"/>
        </w:rPr>
      </w:pPr>
    </w:p>
    <w:p>
      <w:pPr>
        <w:rPr>
          <w:rStyle w:val="4"/>
          <w:rFonts w:hint="eastAsia" w:ascii="黑体" w:eastAsia="黑体"/>
          <w:b w:val="0"/>
          <w:sz w:val="32"/>
          <w:szCs w:val="32"/>
          <w:shd w:val="clear" w:color="auto" w:fill="FFFFFF"/>
        </w:rPr>
      </w:pPr>
    </w:p>
    <w:p>
      <w:pPr>
        <w:rPr>
          <w:rStyle w:val="4"/>
          <w:rFonts w:hint="eastAsia" w:ascii="黑体" w:eastAsia="黑体"/>
          <w:b w:val="0"/>
          <w:sz w:val="32"/>
          <w:szCs w:val="32"/>
          <w:shd w:val="clear" w:color="auto" w:fill="FFFFFF"/>
        </w:rPr>
      </w:pPr>
    </w:p>
    <w:p>
      <w:pPr>
        <w:rPr>
          <w:rStyle w:val="4"/>
          <w:rFonts w:hint="eastAsia" w:ascii="黑体" w:eastAsia="黑体"/>
          <w:b w:val="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NGY5YTQ5Nzc3NmUwZjdkZmE2ZmZhOTM4MzRlNjAifQ=="/>
  </w:docVars>
  <w:rsids>
    <w:rsidRoot w:val="423A3567"/>
    <w:rsid w:val="423A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2022-06-14T02:07:00Z</dcterms:created>
  <dc:creator>Kristen</dc:creator>
  <cp:lastModifiedBy>Kristen</cp:lastModifiedBy>
  <dcterms:modified xsi:type="dcterms:W3CDTF">2022-06-14T02:08:28Z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F8E0EE6490B84E71ACF674B5E9535EAC</vt:lpwstr>
  </property>
</Properties>
</file>