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C5" w:rsidRDefault="002C13C5" w:rsidP="002C13C5">
      <w:pPr>
        <w:spacing w:line="1080" w:lineRule="exact"/>
        <w:ind w:firstLineChars="1000" w:firstLine="2057"/>
        <w:jc w:val="right"/>
        <w:rPr>
          <w:rFonts w:ascii="方正小标宋_GBK" w:eastAsia="方正小标宋_GBK"/>
        </w:rPr>
      </w:pPr>
    </w:p>
    <w:p w:rsidR="002C13C5" w:rsidRDefault="002C13C5" w:rsidP="002C13C5">
      <w:pPr>
        <w:spacing w:line="240" w:lineRule="atLeast"/>
        <w:jc w:val="distribute"/>
        <w:rPr>
          <w:rFonts w:ascii="方正小标宋_GBK" w:eastAsia="方正小标宋_GBK" w:hAnsi="华文中宋"/>
          <w:color w:val="FF0000"/>
          <w:spacing w:val="-46"/>
          <w:w w:val="65"/>
          <w:sz w:val="130"/>
          <w:szCs w:val="130"/>
        </w:rPr>
      </w:pPr>
      <w:r>
        <w:rPr>
          <w:rFonts w:ascii="方正小标宋_GBK" w:eastAsia="方正小标宋_GBK" w:hAnsi="华文中宋" w:hint="eastAsia"/>
          <w:color w:val="FF0000"/>
          <w:spacing w:val="-46"/>
          <w:w w:val="65"/>
          <w:sz w:val="130"/>
          <w:szCs w:val="130"/>
        </w:rPr>
        <w:t>济南市教育局办公室文件</w:t>
      </w:r>
    </w:p>
    <w:p w:rsidR="002C13C5" w:rsidRDefault="002C13C5" w:rsidP="002C13C5">
      <w:pPr>
        <w:spacing w:line="760" w:lineRule="exact"/>
      </w:pPr>
    </w:p>
    <w:p w:rsidR="002C13C5" w:rsidRDefault="002C13C5" w:rsidP="002C13C5">
      <w:pPr>
        <w:spacing w:line="240" w:lineRule="atLeast"/>
        <w:jc w:val="center"/>
        <w:rPr>
          <w:rFonts w:ascii="仿宋_GB2312" w:eastAsia="仿宋_GB2312" w:hAnsi="华文中宋"/>
          <w:sz w:val="32"/>
          <w:szCs w:val="32"/>
        </w:rPr>
      </w:pPr>
      <w:proofErr w:type="gramStart"/>
      <w:r>
        <w:rPr>
          <w:rFonts w:ascii="仿宋_GB2312" w:eastAsia="仿宋_GB2312" w:hAnsi="华文中宋" w:hint="eastAsia"/>
          <w:sz w:val="32"/>
          <w:szCs w:val="32"/>
        </w:rPr>
        <w:t>济教办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〔2024〕15号</w:t>
      </w:r>
    </w:p>
    <w:p w:rsidR="002C13C5" w:rsidRDefault="002C13C5" w:rsidP="002C13C5">
      <w:pPr>
        <w:spacing w:line="200" w:lineRule="exact"/>
        <w:ind w:firstLine="352"/>
        <w:jc w:val="center"/>
        <w:rPr>
          <w:rFonts w:hAnsi="华文中宋"/>
          <w:bCs/>
          <w:sz w:val="18"/>
          <w:szCs w:val="18"/>
        </w:rPr>
      </w:pPr>
    </w:p>
    <w:p w:rsidR="002C13C5" w:rsidRDefault="00F95099" w:rsidP="002C13C5">
      <w:pPr>
        <w:spacing w:line="600" w:lineRule="exact"/>
        <w:jc w:val="center"/>
        <w:rPr>
          <w:rFonts w:ascii="华文中宋" w:eastAsia="华文中宋" w:hAnsi="华文中宋"/>
          <w:w w:val="95"/>
          <w:sz w:val="44"/>
          <w:szCs w:val="44"/>
        </w:rPr>
      </w:pPr>
      <w:r w:rsidRPr="00F95099">
        <w:rPr>
          <w:rFonts w:ascii="Arial" w:eastAsia="仿宋_GB2312" w:hAnsi="Arial"/>
          <w:sz w:val="32"/>
          <w:szCs w:val="20"/>
          <w:lang w:eastAsia="en-US"/>
        </w:rPr>
        <w:pict>
          <v:line id="直线 2" o:spid="_x0000_s2050" style="position:absolute;left:0;text-align:left;z-index:251660288;mso-wrap-style:square" from="0,-.15pt" to="450pt,-.15pt" o:gfxdata="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RDhE0wAA&#10;AAQBAAAPAAAAAAAAAAEAIAAAACIAAABkcnMvZG93bnJldi54bWxQSwECFAAUAAAACACHTuJA4Gdr&#10;X+oBAAC7AwAADgAAAAAAAAABACAAAAAiAQAAZHJzL2Uyb0RvYy54bWxQSwUGAAAAAAYABgBZAQAA&#10;fgUAAAAA&#10;" strokecolor="red" strokeweight="1.75pt"/>
        </w:pict>
      </w:r>
      <w:r w:rsidR="002C13C5">
        <w:rPr>
          <w:color w:val="FF0000"/>
        </w:rPr>
        <w:tab/>
      </w:r>
    </w:p>
    <w:p w:rsidR="002C13C5" w:rsidRPr="00BB364D" w:rsidRDefault="002C13C5" w:rsidP="002C13C5">
      <w:pPr>
        <w:spacing w:line="700" w:lineRule="exact"/>
        <w:jc w:val="center"/>
        <w:outlineLvl w:val="0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BB364D">
        <w:rPr>
          <w:rFonts w:ascii="方正小标宋_GBK" w:eastAsia="方正小标宋_GBK" w:hAnsi="方正小标宋简体" w:cs="方正小标宋简体" w:hint="eastAsia"/>
          <w:sz w:val="44"/>
          <w:szCs w:val="44"/>
        </w:rPr>
        <w:t>济南市教育局办公室</w:t>
      </w:r>
    </w:p>
    <w:p w:rsidR="00413100" w:rsidRDefault="001617E0" w:rsidP="00720C18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关于公布我市中等职业学校专业发展水平</w:t>
      </w:r>
    </w:p>
    <w:p w:rsidR="00413100" w:rsidRDefault="001617E0" w:rsidP="00720C18">
      <w:pPr>
        <w:spacing w:line="7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考核认定结果的通知</w:t>
      </w:r>
    </w:p>
    <w:p w:rsidR="00413100" w:rsidRDefault="00413100" w:rsidP="002C13C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13100" w:rsidRDefault="001617E0" w:rsidP="002C13C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，各职业院校：</w:t>
      </w:r>
    </w:p>
    <w:p w:rsidR="00413100" w:rsidRDefault="001617E0" w:rsidP="002C13C5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根据省教育厅《关于印发山东省中等职业学校专业发展水平考核指导方案（试行）的通知》（鲁教职字〔2023〕9号）和《关于开展济南市中等职业学校专业发展水平考核工作的通知》（济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教职处函〔2024〕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11号）要求，市教育局对全市具有举办学历教育资质的中等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职业学校和专业开展了专业发展水平考核工作。经学校自评、区县审核、市级复核并经公示程序，现将认定结果予以公布。</w:t>
      </w:r>
    </w:p>
    <w:p w:rsidR="00D25B85" w:rsidRDefault="001617E0" w:rsidP="002C13C5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一、本次专业发展水平考核共涉及31所职业院校，认定A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档专业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36个，B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档专业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92个，C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档专业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5个（详见附件）。以上认定结果报省教育厅备案，省教育厅将组织专业复核。</w:t>
      </w:r>
    </w:p>
    <w:p w:rsidR="00413100" w:rsidRDefault="001617E0" w:rsidP="002C13C5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二、认定为C档的专业限期一年整改，各相关学校要对认定C档的专业重新开展专业论证，并于2024年8月31日前以正式文件向市教育局提交整改报告。未提交整改报告或整改期满仍达不到B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档以上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标准的，将予以停办。</w:t>
      </w:r>
    </w:p>
    <w:p w:rsidR="00413100" w:rsidRDefault="001617E0" w:rsidP="002C13C5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三、专业发展水平考核工作是加强学校基础能力建设，提升专业建设水平和教学质量的重要举措，各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各学校要根据区域产业发展人力资源需求和学校办学条件，加强专业建设规划，不断优化资源配置和专业结构，合理确定专业方向和培养规模，避免盲目设置和重复建设，不断提高学校专业建设水平和服务社会能力。</w:t>
      </w:r>
    </w:p>
    <w:p w:rsidR="00413100" w:rsidRDefault="00413100" w:rsidP="002C13C5">
      <w:pPr>
        <w:spacing w:line="54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</w:rPr>
      </w:pPr>
    </w:p>
    <w:p w:rsidR="00413100" w:rsidRDefault="002C13C5" w:rsidP="002C13C5">
      <w:pPr>
        <w:spacing w:line="580" w:lineRule="exact"/>
        <w:ind w:leftChars="304" w:left="1572" w:hangingChars="300" w:hanging="94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1617E0" w:rsidRPr="002C13C5">
        <w:rPr>
          <w:rFonts w:ascii="仿宋_GB2312" w:eastAsia="仿宋_GB2312" w:hAnsi="仿宋_GB2312" w:cs="仿宋_GB2312"/>
          <w:spacing w:val="2"/>
          <w:sz w:val="32"/>
          <w:szCs w:val="32"/>
        </w:rPr>
        <w:t>济南市2024年中等职业学校专业发展水平考核认定</w:t>
      </w:r>
      <w:r w:rsidR="001617E0">
        <w:rPr>
          <w:rFonts w:ascii="仿宋_GB2312" w:eastAsia="仿宋_GB2312" w:hAnsi="仿宋_GB2312" w:cs="仿宋_GB2312"/>
          <w:sz w:val="32"/>
          <w:szCs w:val="32"/>
        </w:rPr>
        <w:t>结果名单</w:t>
      </w:r>
    </w:p>
    <w:p w:rsidR="00413100" w:rsidRDefault="00413100" w:rsidP="00D25B85">
      <w:pPr>
        <w:spacing w:line="1200" w:lineRule="exact"/>
        <w:ind w:leftChars="304" w:left="1572" w:hangingChars="300" w:hanging="947"/>
        <w:rPr>
          <w:rFonts w:ascii="仿宋_GB2312" w:eastAsia="仿宋_GB2312" w:hAnsi="仿宋_GB2312" w:cs="仿宋_GB2312"/>
          <w:sz w:val="32"/>
          <w:szCs w:val="32"/>
        </w:rPr>
      </w:pPr>
    </w:p>
    <w:p w:rsidR="00413100" w:rsidRDefault="001617E0" w:rsidP="002C13C5">
      <w:pPr>
        <w:spacing w:line="600" w:lineRule="exact"/>
        <w:ind w:firstLineChars="1450" w:firstLine="45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济南市教育局办公室</w:t>
      </w:r>
    </w:p>
    <w:p w:rsidR="00413100" w:rsidRPr="002C13C5" w:rsidRDefault="001617E0" w:rsidP="002C13C5">
      <w:pPr>
        <w:spacing w:line="600" w:lineRule="exact"/>
        <w:ind w:firstLineChars="1550" w:firstLine="4831"/>
        <w:rPr>
          <w:rFonts w:ascii="仿宋_GB2312" w:eastAsia="仿宋_GB2312" w:hAnsi="仿宋_GB2312" w:cs="仿宋_GB2312"/>
          <w:spacing w:val="-2"/>
          <w:sz w:val="32"/>
          <w:szCs w:val="32"/>
        </w:rPr>
      </w:pPr>
      <w:r w:rsidRPr="002C13C5">
        <w:rPr>
          <w:rFonts w:ascii="仿宋_GB2312" w:eastAsia="仿宋_GB2312" w:hAnsi="仿宋_GB2312" w:cs="仿宋_GB2312" w:hint="eastAsia"/>
          <w:spacing w:val="-2"/>
          <w:sz w:val="32"/>
          <w:szCs w:val="32"/>
        </w:rPr>
        <w:t>2024年7月31日</w:t>
      </w:r>
    </w:p>
    <w:p w:rsidR="002C13C5" w:rsidRDefault="002C13C5" w:rsidP="002C13C5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C13C5" w:rsidRDefault="002C13C5" w:rsidP="002C13C5">
      <w:pPr>
        <w:spacing w:line="40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p w:rsidR="00413100" w:rsidRDefault="00413100" w:rsidP="002C13C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413100" w:rsidSect="002C13C5">
          <w:footerReference w:type="even" r:id="rId7"/>
          <w:footerReference w:type="default" r:id="rId8"/>
          <w:pgSz w:w="11906" w:h="16838" w:code="9"/>
          <w:pgMar w:top="1985" w:right="1474" w:bottom="1644" w:left="1588" w:header="851" w:footer="992" w:gutter="0"/>
          <w:pgNumType w:fmt="numberInDash" w:start="1"/>
          <w:cols w:space="0"/>
          <w:docGrid w:type="linesAndChars" w:linePitch="312" w:charSpace="-886"/>
        </w:sectPr>
      </w:pPr>
    </w:p>
    <w:p w:rsidR="00413100" w:rsidRDefault="001617E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13100" w:rsidRDefault="001617E0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济南市2024年中等职业学校专业发展水平</w:t>
      </w:r>
    </w:p>
    <w:p w:rsidR="00413100" w:rsidRDefault="001617E0" w:rsidP="00F95099">
      <w:pPr>
        <w:spacing w:afterLines="100"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考核认定结果名单</w:t>
      </w:r>
    </w:p>
    <w:tbl>
      <w:tblPr>
        <w:tblW w:w="8931" w:type="dxa"/>
        <w:tblInd w:w="-176" w:type="dxa"/>
        <w:tblLayout w:type="fixed"/>
        <w:tblLook w:val="04A0"/>
      </w:tblPr>
      <w:tblGrid>
        <w:gridCol w:w="543"/>
        <w:gridCol w:w="4230"/>
        <w:gridCol w:w="1140"/>
        <w:gridCol w:w="2264"/>
        <w:gridCol w:w="754"/>
      </w:tblGrid>
      <w:tr w:rsidR="00413100">
        <w:trPr>
          <w:trHeight w:val="4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 xml:space="preserve">序号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专业</w:t>
            </w:r>
          </w:p>
          <w:p w:rsidR="00413100" w:rsidRDefault="001617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 xml:space="preserve"> 专业名称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认定</w:t>
            </w:r>
          </w:p>
          <w:p w:rsidR="00413100" w:rsidRDefault="001617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济南市创新科技职业中等专业学校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会计事务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会计事务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济南传媒学校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电气设备运行与控制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工业机器人技术应用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济南科技学校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建筑工程施工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网站建设与管理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济南科技学校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790302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智慧健康养老服务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济南日昇学校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旅游服务与管理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720504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口腔修复工艺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740104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高星级饭店运营与管理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中餐烹饪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720403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市长清区职业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济南市济阳区职业中等专业学校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济南市莱芜职业中等专业学校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济南新技术应用学校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山东冶金中等专业学校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济南铁路学校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莱芜航空中等专业学校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济南市创新科技职业中等专业学校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汶源工商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济南传媒学校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山东冶金中等专业学校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济南新技术应用学校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济南市济阳区职业中等专业学校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市长清区职业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济南传媒学校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市长清区职业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济南市济阳区职业中等专业学校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济南市莱芜职业中等专业学校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济南新技术应用学校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莱芜航空中等专业学校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济南应用技术职业中等专业学校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济南人民职业中等专业学校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市长清区职业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济南市济阳区职业中等专业学校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济南应用技术职业中等专业学校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汶源工商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济南青华工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会计事务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济南传媒学校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会计事务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会计事务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会计事务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济南人民职业中等专业学校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会计事务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莱芜航空中等专业学校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会计事务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济南市莱芜职业中等专业学校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会计事务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市长清区职业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济南市济阳区职业中等专业学校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济南新技术应用学校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莱芜航空中等专业学校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济南新技术应用学校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市长清区职业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济南市莱芜职业中等专业学校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济南市莱芜职业中等专业学校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济南人民职业中等专业学校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济南市章丘区智慧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康养职业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电气设备运行与控制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莱芜航空中等专业学校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电气设备运行与控制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济南铁路学校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电气设备运行与控制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工业机器人技术应用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工业机器人技术应用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工业机器人技术应用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济南人民职业中等专业学校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工业机器人技术应用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建筑工程施工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山东圣翰财贸职业学院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建筑工程施工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济南市莱芜职业中等专业学校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建筑工程施工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济南铁路学校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济南科技学校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济南市创新科技职业中等专业学校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网站建设与管理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市长清区职业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济南阳光职业中等专业学校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790302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智慧健康养老服务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济南应用技术职业中等专业学校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790302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智慧健康养老服务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旅游服务与管理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山东华德职业中等专业学校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旅游服务与管理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济南市章丘区智慧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康养职业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720504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口腔修复工艺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济南人民职业中等专业学校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720504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口腔修复工艺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济南日昇学校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740104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高星级饭店运营与管理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740104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高星级饭店运营与管理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济南日昇学校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中餐烹饪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中餐烹饪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中餐烹饪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济南青华工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济南市莱芜职业中等专业学校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济南阳光职业中等专业学校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山东华德职业中等专业学校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C档</w:t>
            </w:r>
          </w:p>
        </w:tc>
      </w:tr>
      <w:tr w:rsidR="00413100">
        <w:trPr>
          <w:trHeight w:val="2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莱芜航空中等专业学校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3100" w:rsidRDefault="00161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C档</w:t>
            </w:r>
          </w:p>
        </w:tc>
      </w:tr>
    </w:tbl>
    <w:p w:rsidR="00413100" w:rsidRDefault="00413100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 w:rsidP="00E47D7F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720C18" w:rsidRDefault="00720C18">
      <w:pPr>
        <w:rPr>
          <w:rFonts w:ascii="仿宋_GB2312" w:eastAsia="仿宋_GB2312" w:hAnsi="仿宋_GB2312" w:cs="仿宋_GB2312"/>
          <w:sz w:val="32"/>
          <w:szCs w:val="32"/>
        </w:rPr>
      </w:pPr>
    </w:p>
    <w:p w:rsidR="00E47D7F" w:rsidRPr="002F399D" w:rsidRDefault="00E47D7F" w:rsidP="00E47D7F">
      <w:pPr>
        <w:pStyle w:val="2"/>
        <w:spacing w:after="0" w:line="240" w:lineRule="exact"/>
        <w:ind w:left="386" w:firstLine="606"/>
      </w:pPr>
    </w:p>
    <w:p w:rsidR="00720C18" w:rsidRPr="00E47D7F" w:rsidRDefault="00F95099" w:rsidP="00E47D7F">
      <w:pPr>
        <w:tabs>
          <w:tab w:val="left" w:pos="9020"/>
        </w:tabs>
        <w:spacing w:line="580" w:lineRule="exact"/>
        <w:ind w:right="51" w:firstLineChars="49" w:firstLine="129"/>
        <w:rPr>
          <w:rFonts w:ascii="仿宋_GB2312" w:eastAsia="仿宋_GB2312" w:hAnsi="仿宋_GB2312" w:cs="仿宋_GB2312"/>
          <w:sz w:val="32"/>
          <w:szCs w:val="32"/>
        </w:rPr>
      </w:pPr>
      <w:bookmarkStart w:id="1" w:name="OLE_LINK2"/>
      <w:r w:rsidRPr="00F95099">
        <w:rPr>
          <w:rFonts w:ascii="仿宋_GB2312" w:eastAsia="仿宋_GB2312" w:hAnsi="仿宋"/>
          <w:sz w:val="28"/>
          <w:szCs w:val="28"/>
        </w:rPr>
        <w:pict>
          <v:line id="_x0000_s2051" style="position:absolute;left:0;text-align:left;z-index:251662336;mso-width-relative:page;mso-height-relative:page" from="-7.2pt,.2pt" to="433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"/>
        </w:pict>
      </w:r>
      <w:r w:rsidRPr="00F95099">
        <w:rPr>
          <w:rFonts w:ascii="仿宋_GB2312" w:eastAsia="仿宋_GB2312" w:hAnsi="仿宋"/>
          <w:sz w:val="28"/>
          <w:szCs w:val="28"/>
        </w:rPr>
        <w:pict>
          <v:line id="_x0000_s2052" style="position:absolute;left:0;text-align:left;z-index:251663360;mso-width-relative:page;mso-height-relative:page" from="-7.2pt,31.4pt" to="433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"/>
        </w:pict>
      </w:r>
      <w:r w:rsidR="00E47D7F">
        <w:rPr>
          <w:rFonts w:ascii="仿宋_GB2312" w:eastAsia="仿宋_GB2312" w:hAnsi="仿宋" w:hint="eastAsia"/>
          <w:sz w:val="28"/>
          <w:szCs w:val="28"/>
        </w:rPr>
        <w:t>济南市教育局办公室                         2024年7月31日印发</w:t>
      </w:r>
      <w:bookmarkEnd w:id="1"/>
    </w:p>
    <w:sectPr w:rsidR="00720C18" w:rsidRPr="00E47D7F" w:rsidSect="00720C18">
      <w:pgSz w:w="11906" w:h="16838" w:code="9"/>
      <w:pgMar w:top="1440" w:right="1803" w:bottom="1440" w:left="1803" w:header="851" w:footer="992" w:gutter="0"/>
      <w:pgNumType w:fmt="numberInDash" w:start="3"/>
      <w:cols w:space="0"/>
      <w:docGrid w:type="linesAndChars" w:linePitch="317" w:charSpace="-34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100" w:rsidRDefault="00413100" w:rsidP="00413100">
      <w:r>
        <w:separator/>
      </w:r>
    </w:p>
  </w:endnote>
  <w:endnote w:type="continuationSeparator" w:id="1">
    <w:p w:rsidR="00413100" w:rsidRDefault="00413100" w:rsidP="00413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91329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20C18" w:rsidRDefault="00F95099">
        <w:pPr>
          <w:pStyle w:val="a3"/>
        </w:pPr>
        <w:r w:rsidRPr="00720C1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720C18" w:rsidRPr="00720C18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720C1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83CFE" w:rsidRPr="00883CF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83CF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720C1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720C18" w:rsidRDefault="00720C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91329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20C18" w:rsidRPr="00720C18" w:rsidRDefault="00F95099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720C1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720C18" w:rsidRPr="00720C18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720C1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83CFE" w:rsidRPr="00883CF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83CF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720C1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413100" w:rsidRDefault="004131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100" w:rsidRDefault="00413100" w:rsidP="00413100">
      <w:r>
        <w:separator/>
      </w:r>
    </w:p>
  </w:footnote>
  <w:footnote w:type="continuationSeparator" w:id="1">
    <w:p w:rsidR="00413100" w:rsidRDefault="00413100" w:rsidP="00413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HorizontalSpacing w:val="103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yNjcxMjM1ODRkOTA0NmMyOTEzYmI0NWUxZTM0YTgifQ=="/>
  </w:docVars>
  <w:rsids>
    <w:rsidRoot w:val="75D3166E"/>
    <w:rsid w:val="00076E7A"/>
    <w:rsid w:val="00095054"/>
    <w:rsid w:val="001617E0"/>
    <w:rsid w:val="001933A0"/>
    <w:rsid w:val="002C13C5"/>
    <w:rsid w:val="00325517"/>
    <w:rsid w:val="003A6B09"/>
    <w:rsid w:val="00413100"/>
    <w:rsid w:val="00460A7D"/>
    <w:rsid w:val="004B5AAB"/>
    <w:rsid w:val="00506936"/>
    <w:rsid w:val="0059187F"/>
    <w:rsid w:val="00595B8B"/>
    <w:rsid w:val="005970F4"/>
    <w:rsid w:val="00610175"/>
    <w:rsid w:val="00706546"/>
    <w:rsid w:val="00720C18"/>
    <w:rsid w:val="00752E6D"/>
    <w:rsid w:val="007D4613"/>
    <w:rsid w:val="00883CFE"/>
    <w:rsid w:val="009154F7"/>
    <w:rsid w:val="009962C8"/>
    <w:rsid w:val="00A40141"/>
    <w:rsid w:val="00A91316"/>
    <w:rsid w:val="00A926F3"/>
    <w:rsid w:val="00B51BA6"/>
    <w:rsid w:val="00BB41F9"/>
    <w:rsid w:val="00BD1D85"/>
    <w:rsid w:val="00C43DB7"/>
    <w:rsid w:val="00C856E9"/>
    <w:rsid w:val="00D25B85"/>
    <w:rsid w:val="00D83D57"/>
    <w:rsid w:val="00E47D7F"/>
    <w:rsid w:val="00E57F4B"/>
    <w:rsid w:val="00EB3D0D"/>
    <w:rsid w:val="00F95099"/>
    <w:rsid w:val="00FA39C2"/>
    <w:rsid w:val="00FA796B"/>
    <w:rsid w:val="0B102040"/>
    <w:rsid w:val="13FA5BA6"/>
    <w:rsid w:val="23BC520C"/>
    <w:rsid w:val="27676F1D"/>
    <w:rsid w:val="301C26FD"/>
    <w:rsid w:val="301F5880"/>
    <w:rsid w:val="46C429D2"/>
    <w:rsid w:val="683E19D7"/>
    <w:rsid w:val="75D3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1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131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131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sid w:val="0041310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413100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41310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41310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41310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41310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uiPriority w:val="99"/>
    <w:rsid w:val="00720C1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Body Text Indent"/>
    <w:basedOn w:val="a"/>
    <w:link w:val="Char0"/>
    <w:rsid w:val="00E47D7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E47D7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5"/>
    <w:link w:val="2Char"/>
    <w:qFormat/>
    <w:rsid w:val="00E47D7F"/>
    <w:pPr>
      <w:ind w:firstLineChars="200" w:firstLine="420"/>
    </w:pPr>
    <w:rPr>
      <w:sz w:val="32"/>
    </w:rPr>
  </w:style>
  <w:style w:type="character" w:customStyle="1" w:styleId="2Char">
    <w:name w:val="正文首行缩进 2 Char"/>
    <w:basedOn w:val="Char0"/>
    <w:link w:val="2"/>
    <w:rsid w:val="00E47D7F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3266</Words>
  <Characters>1733</Characters>
  <Application>Microsoft Office Word</Application>
  <DocSecurity>0</DocSecurity>
  <Lines>14</Lines>
  <Paragraphs>9</Paragraphs>
  <ScaleCrop>false</ScaleCrop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韩玉莹</dc:creator>
  <cp:lastModifiedBy>China</cp:lastModifiedBy>
  <cp:revision>3</cp:revision>
  <cp:lastPrinted>2024-08-01T07:13:00Z</cp:lastPrinted>
  <dcterms:created xsi:type="dcterms:W3CDTF">2024-08-01T07:15:00Z</dcterms:created>
  <dcterms:modified xsi:type="dcterms:W3CDTF">2024-08-01T07:15:00Z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4AF316E956F64E83BD5E69076A5407B9_13</vt:lpwstr>
  </property>
</Properties>
</file>