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D32C2">
      <w:pPr>
        <w:adjustRightInd w:val="0"/>
        <w:snapToGrid w:val="0"/>
        <w:jc w:val="center"/>
        <w:rPr>
          <w:rFonts w:ascii="Times New Roman" w:hAnsi="Times New Roman" w:eastAsia="仿宋_GB2312"/>
          <w:color w:val="000000"/>
          <w:spacing w:val="-8"/>
          <w:sz w:val="30"/>
          <w:szCs w:val="30"/>
        </w:rPr>
      </w:pPr>
    </w:p>
    <w:p w14:paraId="10B262B3">
      <w:pPr>
        <w:adjustRightInd w:val="0"/>
        <w:snapToGrid w:val="0"/>
        <w:jc w:val="center"/>
        <w:rPr>
          <w:rFonts w:ascii="Times New Roman" w:hAnsi="Times New Roman" w:eastAsia="仿宋_GB2312"/>
          <w:color w:val="000000"/>
          <w:spacing w:val="-8"/>
          <w:sz w:val="30"/>
          <w:szCs w:val="30"/>
        </w:rPr>
      </w:pPr>
    </w:p>
    <w:p w14:paraId="21141878">
      <w:pPr>
        <w:adjustRightInd w:val="0"/>
        <w:snapToGrid w:val="0"/>
        <w:jc w:val="center"/>
        <w:rPr>
          <w:rFonts w:ascii="Times New Roman" w:hAnsi="Times New Roman" w:eastAsia="仿宋_GB2312"/>
          <w:color w:val="000000"/>
          <w:spacing w:val="-8"/>
          <w:sz w:val="30"/>
          <w:szCs w:val="30"/>
        </w:rPr>
      </w:pPr>
    </w:p>
    <w:tbl>
      <w:tblPr>
        <w:tblStyle w:val="6"/>
        <w:tblW w:w="82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20"/>
        <w:gridCol w:w="1642"/>
      </w:tblGrid>
      <w:tr w14:paraId="67F84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2" w:hRule="atLeast"/>
          <w:jc w:val="center"/>
        </w:trPr>
        <w:tc>
          <w:tcPr>
            <w:tcW w:w="6620" w:type="dxa"/>
            <w:vAlign w:val="center"/>
          </w:tcPr>
          <w:p w14:paraId="63785EEA">
            <w:pPr>
              <w:keepNext w:val="0"/>
              <w:keepLines w:val="0"/>
              <w:pageBreakBefore w:val="0"/>
              <w:widowControl w:val="0"/>
              <w:kinsoku/>
              <w:wordWrap/>
              <w:overflowPunct/>
              <w:topLinePunct w:val="0"/>
              <w:autoSpaceDE/>
              <w:autoSpaceDN/>
              <w:bidi w:val="0"/>
              <w:adjustRightInd w:val="0"/>
              <w:snapToGrid w:val="0"/>
              <w:spacing w:line="740" w:lineRule="exact"/>
              <w:jc w:val="distribute"/>
              <w:textAlignment w:val="auto"/>
              <w:rPr>
                <w:rFonts w:ascii="方正小标宋简体" w:hAnsi="华文中宋" w:eastAsia="方正小标宋简体"/>
                <w:color w:val="FF0000"/>
                <w:sz w:val="52"/>
                <w:szCs w:val="52"/>
              </w:rPr>
            </w:pPr>
            <w:r>
              <w:rPr>
                <w:rFonts w:hint="eastAsia" w:ascii="方正小标宋简体" w:hAnsi="华文中宋" w:eastAsia="方正小标宋简体"/>
                <w:color w:val="FF0000"/>
                <w:sz w:val="52"/>
                <w:szCs w:val="52"/>
              </w:rPr>
              <w:t>济南市教育局</w:t>
            </w:r>
          </w:p>
          <w:p w14:paraId="58AE8B77">
            <w:pPr>
              <w:keepNext w:val="0"/>
              <w:keepLines w:val="0"/>
              <w:pageBreakBefore w:val="0"/>
              <w:widowControl w:val="0"/>
              <w:kinsoku/>
              <w:wordWrap/>
              <w:overflowPunct/>
              <w:topLinePunct w:val="0"/>
              <w:autoSpaceDE/>
              <w:autoSpaceDN/>
              <w:bidi w:val="0"/>
              <w:adjustRightInd w:val="0"/>
              <w:snapToGrid w:val="0"/>
              <w:spacing w:line="740" w:lineRule="exact"/>
              <w:jc w:val="distribute"/>
              <w:textAlignment w:val="auto"/>
              <w:rPr>
                <w:rFonts w:ascii="方正小标宋简体" w:hAnsi="华文中宋" w:eastAsia="方正小标宋简体"/>
                <w:color w:val="FF0000"/>
                <w:sz w:val="50"/>
                <w:szCs w:val="50"/>
              </w:rPr>
            </w:pPr>
            <w:r>
              <w:rPr>
                <w:rFonts w:hint="eastAsia" w:ascii="方正小标宋简体" w:hAnsi="华文中宋" w:eastAsia="方正小标宋简体"/>
                <w:color w:val="FF0000"/>
                <w:sz w:val="52"/>
                <w:szCs w:val="52"/>
              </w:rPr>
              <w:t>济南市财政局</w:t>
            </w:r>
          </w:p>
        </w:tc>
        <w:tc>
          <w:tcPr>
            <w:tcW w:w="1642" w:type="dxa"/>
            <w:vAlign w:val="center"/>
          </w:tcPr>
          <w:p w14:paraId="50688901">
            <w:pPr>
              <w:spacing w:line="1360" w:lineRule="exact"/>
              <w:jc w:val="right"/>
              <w:rPr>
                <w:rFonts w:ascii="Times New Roman" w:hAnsi="Times New Roman" w:eastAsia="方正小标宋简体"/>
                <w:color w:val="FF0000"/>
                <w:spacing w:val="-4"/>
                <w:w w:val="66"/>
                <w:sz w:val="126"/>
                <w:szCs w:val="126"/>
              </w:rPr>
            </w:pPr>
            <w:r>
              <w:rPr>
                <w:rFonts w:hint="eastAsia" w:ascii="Times New Roman" w:hAnsi="Times New Roman" w:eastAsia="方正小标宋简体"/>
                <w:color w:val="FF0000"/>
                <w:spacing w:val="-4"/>
                <w:w w:val="66"/>
                <w:sz w:val="126"/>
                <w:szCs w:val="126"/>
              </w:rPr>
              <w:t>文件</w:t>
            </w:r>
          </w:p>
        </w:tc>
      </w:tr>
    </w:tbl>
    <w:p w14:paraId="3F4ADE74">
      <w:pPr>
        <w:spacing w:line="500" w:lineRule="exact"/>
        <w:jc w:val="center"/>
        <w:rPr>
          <w:rFonts w:ascii="Times New Roman" w:hAnsi="Times New Roman" w:eastAsia="仿宋_GB2312"/>
          <w:color w:val="000000"/>
          <w:sz w:val="32"/>
          <w:szCs w:val="20"/>
        </w:rPr>
      </w:pPr>
    </w:p>
    <w:p w14:paraId="24F6BAE8">
      <w:pPr>
        <w:spacing w:line="500" w:lineRule="exact"/>
        <w:jc w:val="center"/>
        <w:rPr>
          <w:rFonts w:ascii="Times New Roman" w:hAnsi="Times New Roman" w:eastAsia="仿宋_GB2312"/>
          <w:color w:val="000000"/>
          <w:sz w:val="32"/>
          <w:szCs w:val="20"/>
        </w:rPr>
      </w:pPr>
    </w:p>
    <w:p w14:paraId="470C0CDC">
      <w:pPr>
        <w:adjustRightInd w:val="0"/>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济教发〔2024〕20号</w:t>
      </w:r>
    </w:p>
    <w:p w14:paraId="5CE0F46D">
      <w:pPr>
        <w:spacing w:line="500" w:lineRule="exact"/>
        <w:jc w:val="center"/>
        <w:rPr>
          <w:rFonts w:ascii="Times New Roman" w:hAnsi="Times New Roman" w:eastAsia="仿宋_GB2312"/>
          <w:color w:val="000000"/>
          <w:sz w:val="32"/>
          <w:szCs w:val="20"/>
        </w:rPr>
      </w:pPr>
      <w:r>
        <w:rPr>
          <w:rFonts w:ascii="Times New Roman" w:hAnsi="Times New Roman" w:eastAsia="仿宋_GB2312"/>
          <w:color w:val="000000"/>
          <w:sz w:val="32"/>
          <w:szCs w:val="2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64770</wp:posOffset>
                </wp:positionV>
                <wp:extent cx="5615940" cy="0"/>
                <wp:effectExtent l="0" t="9525" r="3810" b="9525"/>
                <wp:wrapNone/>
                <wp:docPr id="31" name="直线 37"/>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直线 37" o:spid="_x0000_s1026" o:spt="20" style="position:absolute;left:0pt;margin-top:5.1pt;height:0pt;width:442.2pt;mso-position-horizontal:center;z-index:251659264;mso-width-relative:page;mso-height-relative:page;" filled="f" stroked="t" coordsize="21600,21600" o:gfxdata="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uU7wH1QAAAAYB&#10;AAAPAAAAAAAAAAEAIAAAACIAAABkcnMvZG93bnJldi54bWxQSwECFAAUAAAACACHTuJAzUQIjuUB&#10;AADSAwAADgAAAAAAAAABACAAAAAkAQAAZHJzL2Uyb0RvYy54bWxQSwUGAAAAAAYABgBZAQAAewUA&#10;AAAA&#10;">
                <v:fill on="f" focussize="0,0"/>
                <v:stroke weight="1.5pt" color="#FF0000" joinstyle="round"/>
                <v:imagedata o:title=""/>
                <o:lock v:ext="edit" aspectratio="f"/>
              </v:line>
            </w:pict>
          </mc:Fallback>
        </mc:AlternateContent>
      </w:r>
    </w:p>
    <w:p w14:paraId="4F962516">
      <w:pPr>
        <w:spacing w:line="360" w:lineRule="exact"/>
        <w:jc w:val="center"/>
        <w:rPr>
          <w:rFonts w:ascii="Times New Roman" w:hAnsi="Times New Roman" w:eastAsia="仿宋_GB2312"/>
          <w:color w:val="000000"/>
          <w:sz w:val="32"/>
          <w:szCs w:val="20"/>
        </w:rPr>
      </w:pPr>
    </w:p>
    <w:p w14:paraId="35B04F9F">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snapToGrid w:val="0"/>
          <w:color w:val="000000"/>
          <w:kern w:val="0"/>
          <w:sz w:val="44"/>
          <w:szCs w:val="44"/>
        </w:rPr>
        <w:t>济南市教育局  济南市财政局</w:t>
      </w:r>
    </w:p>
    <w:p w14:paraId="56B3F9E4">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napToGrid w:val="0"/>
          <w:kern w:val="0"/>
          <w:sz w:val="44"/>
          <w:szCs w:val="36"/>
        </w:rPr>
      </w:pPr>
      <w:r>
        <w:rPr>
          <w:rFonts w:hint="eastAsia" w:ascii="方正小标宋简体" w:hAnsi="方正小标宋简体" w:eastAsia="方正小标宋简体" w:cs="方正小标宋简体"/>
          <w:snapToGrid w:val="0"/>
          <w:kern w:val="0"/>
          <w:sz w:val="44"/>
          <w:szCs w:val="36"/>
        </w:rPr>
        <w:t>关于印发《济南市“济南奖学金”</w:t>
      </w:r>
    </w:p>
    <w:p w14:paraId="05C0BC31">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napToGrid w:val="0"/>
          <w:kern w:val="0"/>
          <w:sz w:val="44"/>
          <w:szCs w:val="36"/>
        </w:rPr>
      </w:pPr>
      <w:r>
        <w:rPr>
          <w:rFonts w:hint="eastAsia" w:ascii="方正小标宋简体" w:hAnsi="方正小标宋简体" w:eastAsia="方正小标宋简体" w:cs="方正小标宋简体"/>
          <w:snapToGrid w:val="0"/>
          <w:kern w:val="0"/>
          <w:sz w:val="44"/>
          <w:szCs w:val="36"/>
        </w:rPr>
        <w:t>实施办法》的通知</w:t>
      </w:r>
    </w:p>
    <w:p w14:paraId="0D413408">
      <w:pPr>
        <w:spacing w:line="720" w:lineRule="exact"/>
        <w:jc w:val="center"/>
        <w:rPr>
          <w:rFonts w:ascii="方正小标宋简体" w:hAnsi="方正小标宋简体" w:eastAsia="方正小标宋简体" w:cs="方正小标宋简体"/>
          <w:sz w:val="44"/>
          <w:szCs w:val="36"/>
        </w:rPr>
      </w:pPr>
    </w:p>
    <w:p w14:paraId="50980BE2">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eastAsia="仿宋_GB2312"/>
          <w:snapToGrid w:val="0"/>
          <w:kern w:val="0"/>
          <w:sz w:val="32"/>
        </w:rPr>
      </w:pPr>
      <w:r>
        <w:rPr>
          <w:rFonts w:hint="eastAsia" w:eastAsia="仿宋_GB2312"/>
          <w:snapToGrid w:val="0"/>
          <w:kern w:val="0"/>
          <w:sz w:val="32"/>
        </w:rPr>
        <w:t>各市属高校：</w:t>
      </w:r>
    </w:p>
    <w:p w14:paraId="67D7CACF">
      <w:pPr>
        <w:keepNext w:val="0"/>
        <w:keepLines w:val="0"/>
        <w:pageBreakBefore w:val="0"/>
        <w:widowControl w:val="0"/>
        <w:kinsoku/>
        <w:wordWrap/>
        <w:overflowPunct/>
        <w:topLinePunct w:val="0"/>
        <w:autoSpaceDE/>
        <w:autoSpaceDN/>
        <w:bidi w:val="0"/>
        <w:adjustRightInd w:val="0"/>
        <w:snapToGrid w:val="0"/>
        <w:spacing w:line="540" w:lineRule="exact"/>
        <w:ind w:firstLine="628" w:firstLineChars="200"/>
        <w:textAlignment w:val="auto"/>
        <w:rPr>
          <w:rFonts w:eastAsia="仿宋_GB2312"/>
          <w:snapToGrid w:val="0"/>
          <w:kern w:val="0"/>
          <w:sz w:val="32"/>
        </w:rPr>
      </w:pPr>
      <w:r>
        <w:rPr>
          <w:rFonts w:hint="eastAsia" w:eastAsia="仿宋_GB2312"/>
          <w:snapToGrid w:val="0"/>
          <w:kern w:val="0"/>
          <w:sz w:val="32"/>
        </w:rPr>
        <w:t>现将《济南市“济南奖学金”实施办法》印发你们，请结合实际贯彻落实，激励更多大学生奋发有为、全面发展、热爱济南、才聚泉城，为强省会建设注入更多动力和活力。</w:t>
      </w:r>
    </w:p>
    <w:p w14:paraId="52E22C4D">
      <w:pPr>
        <w:spacing w:line="720" w:lineRule="exact"/>
        <w:ind w:firstLine="628" w:firstLineChars="200"/>
        <w:rPr>
          <w:rFonts w:hint="eastAsia" w:ascii="仿宋_GB2312" w:hAnsi="仿宋_GB2312" w:eastAsia="仿宋_GB2312" w:cs="仿宋_GB2312"/>
          <w:sz w:val="32"/>
          <w:szCs w:val="32"/>
          <w:lang w:eastAsia="zh-CN"/>
        </w:rPr>
      </w:pPr>
      <w:bookmarkStart w:id="0" w:name="_GoBack"/>
      <w:bookmarkEnd w:id="0"/>
    </w:p>
    <w:p w14:paraId="7AC9E121">
      <w:pPr>
        <w:keepNext w:val="0"/>
        <w:keepLines w:val="0"/>
        <w:pageBreakBefore w:val="0"/>
        <w:widowControl w:val="0"/>
        <w:kinsoku/>
        <w:wordWrap/>
        <w:overflowPunct/>
        <w:topLinePunct w:val="0"/>
        <w:autoSpaceDE/>
        <w:autoSpaceDN/>
        <w:bidi w:val="0"/>
        <w:adjustRightInd/>
        <w:snapToGrid/>
        <w:spacing w:line="540" w:lineRule="exact"/>
        <w:ind w:firstLine="628" w:firstLineChars="200"/>
        <w:textAlignment w:val="auto"/>
        <w:rPr>
          <w:rFonts w:hint="eastAsia" w:ascii="仿宋_GB2312" w:hAnsi="仿宋_GB2312" w:eastAsia="仿宋_GB2312" w:cs="仿宋_GB2312"/>
          <w:sz w:val="32"/>
          <w:szCs w:val="32"/>
          <w:lang w:eastAsia="zh-CN"/>
        </w:rPr>
      </w:pPr>
    </w:p>
    <w:p w14:paraId="6D38B107">
      <w:pPr>
        <w:keepNext w:val="0"/>
        <w:keepLines w:val="0"/>
        <w:pageBreakBefore w:val="0"/>
        <w:widowControl w:val="0"/>
        <w:kinsoku/>
        <w:wordWrap/>
        <w:overflowPunct/>
        <w:topLinePunct w:val="0"/>
        <w:autoSpaceDE/>
        <w:autoSpaceDN/>
        <w:bidi w:val="0"/>
        <w:adjustRightInd/>
        <w:snapToGrid/>
        <w:spacing w:line="540" w:lineRule="exact"/>
        <w:ind w:firstLine="1256" w:firstLineChars="400"/>
        <w:jc w:val="left"/>
        <w:textAlignment w:val="auto"/>
        <w:rPr>
          <w:rFonts w:eastAsia="仿宋_GB2312"/>
          <w:sz w:val="32"/>
        </w:rPr>
      </w:pPr>
      <w:r>
        <w:rPr>
          <w:rFonts w:hint="eastAsia" w:eastAsia="仿宋_GB2312"/>
          <w:sz w:val="32"/>
        </w:rPr>
        <w:t xml:space="preserve">济南市教育局   </w:t>
      </w:r>
      <w:r>
        <w:rPr>
          <w:rFonts w:hint="eastAsia"/>
          <w:sz w:val="32"/>
          <w:lang w:val="en-US" w:eastAsia="zh-CN"/>
        </w:rPr>
        <w:t xml:space="preserve">        </w:t>
      </w:r>
      <w:r>
        <w:rPr>
          <w:rFonts w:hint="eastAsia" w:eastAsia="仿宋_GB2312"/>
          <w:sz w:val="32"/>
        </w:rPr>
        <w:t xml:space="preserve">   </w:t>
      </w:r>
      <w:r>
        <w:rPr>
          <w:rFonts w:hint="eastAsia"/>
          <w:sz w:val="32"/>
          <w:lang w:val="en-US" w:eastAsia="zh-CN"/>
        </w:rPr>
        <w:t xml:space="preserve"> </w:t>
      </w:r>
      <w:r>
        <w:rPr>
          <w:rFonts w:hint="eastAsia" w:eastAsia="仿宋_GB2312"/>
          <w:sz w:val="32"/>
        </w:rPr>
        <w:t>济南市财政局</w:t>
      </w:r>
    </w:p>
    <w:p w14:paraId="5ACFAC8D">
      <w:pPr>
        <w:keepNext w:val="0"/>
        <w:keepLines w:val="0"/>
        <w:pageBreakBefore w:val="0"/>
        <w:widowControl w:val="0"/>
        <w:kinsoku/>
        <w:wordWrap/>
        <w:overflowPunct/>
        <w:topLinePunct w:val="0"/>
        <w:autoSpaceDE/>
        <w:autoSpaceDN/>
        <w:bidi w:val="0"/>
        <w:adjustRightInd/>
        <w:snapToGrid/>
        <w:spacing w:line="540" w:lineRule="exact"/>
        <w:ind w:right="628" w:firstLine="628" w:firstLineChars="200"/>
        <w:jc w:val="center"/>
        <w:textAlignment w:val="auto"/>
        <w:rPr>
          <w:rFonts w:hint="eastAsia" w:ascii="仿宋_GB2312" w:hAnsi="仿宋_GB2312" w:eastAsia="仿宋_GB2312" w:cs="仿宋_GB2312"/>
          <w:sz w:val="32"/>
        </w:rPr>
      </w:pPr>
      <w:r>
        <w:rPr>
          <w:rFonts w:hint="eastAsia" w:ascii="仿宋_GB2312" w:hAnsi="仿宋_GB2312" w:cs="仿宋_GB2312"/>
          <w:sz w:val="32"/>
          <w:lang w:val="en-US" w:eastAsia="zh-CN"/>
        </w:rPr>
        <w:t xml:space="preserve">                          </w:t>
      </w:r>
      <w:r>
        <w:rPr>
          <w:rFonts w:hint="eastAsia" w:ascii="仿宋_GB2312" w:hAnsi="仿宋_GB2312" w:eastAsia="仿宋_GB2312" w:cs="仿宋_GB2312"/>
          <w:sz w:val="32"/>
        </w:rPr>
        <w:t>2024年10月30日</w:t>
      </w:r>
    </w:p>
    <w:p w14:paraId="70D9F09A">
      <w:pPr>
        <w:keepNext w:val="0"/>
        <w:keepLines w:val="0"/>
        <w:pageBreakBefore w:val="0"/>
        <w:widowControl w:val="0"/>
        <w:kinsoku/>
        <w:wordWrap/>
        <w:overflowPunct/>
        <w:topLinePunct w:val="0"/>
        <w:autoSpaceDE/>
        <w:autoSpaceDN/>
        <w:bidi w:val="0"/>
        <w:adjustRightInd w:val="0"/>
        <w:snapToGrid w:val="0"/>
        <w:spacing w:before="599" w:beforeLines="100" w:line="560" w:lineRule="exact"/>
        <w:ind w:firstLine="628"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（此件公开发布）</w:t>
      </w:r>
    </w:p>
    <w:p w14:paraId="6E9F9E0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36"/>
        </w:rPr>
      </w:pPr>
    </w:p>
    <w:p w14:paraId="17E27DA2">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济南市“济南奖学金”实施办法</w:t>
      </w:r>
    </w:p>
    <w:p w14:paraId="710D2330">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jc w:val="center"/>
        <w:textAlignment w:val="auto"/>
        <w:rPr>
          <w:rFonts w:ascii="黑体" w:hAnsi="黑体" w:eastAsia="黑体" w:cs="黑体"/>
          <w:sz w:val="32"/>
        </w:rPr>
      </w:pPr>
    </w:p>
    <w:p w14:paraId="0D48744B">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eastAsia="仿宋_GB2312"/>
          <w:snapToGrid w:val="0"/>
          <w:kern w:val="0"/>
          <w:sz w:val="32"/>
        </w:rPr>
      </w:pPr>
      <w:r>
        <w:rPr>
          <w:rFonts w:hint="eastAsia" w:ascii="黑体" w:hAnsi="黑体" w:eastAsia="黑体" w:cs="黑体"/>
          <w:snapToGrid w:val="0"/>
          <w:kern w:val="0"/>
          <w:sz w:val="32"/>
        </w:rPr>
        <w:t xml:space="preserve">第一条  </w:t>
      </w:r>
      <w:r>
        <w:rPr>
          <w:rFonts w:eastAsia="仿宋_GB2312"/>
          <w:snapToGrid w:val="0"/>
          <w:kern w:val="0"/>
          <w:sz w:val="32"/>
        </w:rPr>
        <w:t>为激励驻济高校大学生奋发有为，全面发展，热爱济南，才聚泉城，</w:t>
      </w:r>
      <w:r>
        <w:rPr>
          <w:rFonts w:hint="eastAsia" w:ascii="仿宋_GB2312" w:hAnsi="华文仿宋" w:eastAsia="仿宋_GB2312" w:cs="华文仿宋"/>
          <w:snapToGrid w:val="0"/>
          <w:kern w:val="0"/>
          <w:sz w:val="32"/>
          <w:szCs w:val="32"/>
        </w:rPr>
        <w:t>根据市委人才办《〈济南市人才服务支持政策(30条)〉〈济南市人才发展环境政策(30条)〉实施细则(2024版)〉》（济人才办发〔2024〕2号），</w:t>
      </w:r>
      <w:r>
        <w:rPr>
          <w:rFonts w:eastAsia="仿宋_GB2312"/>
          <w:snapToGrid w:val="0"/>
          <w:kern w:val="0"/>
          <w:sz w:val="32"/>
        </w:rPr>
        <w:t>制定本办法。</w:t>
      </w:r>
    </w:p>
    <w:p w14:paraId="3D0DA478">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eastAsia="仿宋_GB2312"/>
          <w:snapToGrid w:val="0"/>
          <w:kern w:val="0"/>
          <w:sz w:val="32"/>
        </w:rPr>
      </w:pPr>
      <w:r>
        <w:rPr>
          <w:rFonts w:hint="eastAsia" w:ascii="黑体" w:hAnsi="黑体" w:eastAsia="黑体" w:cs="黑体"/>
          <w:snapToGrid w:val="0"/>
          <w:kern w:val="0"/>
          <w:sz w:val="32"/>
        </w:rPr>
        <w:t xml:space="preserve">第二条  </w:t>
      </w:r>
      <w:r>
        <w:rPr>
          <w:rFonts w:eastAsia="仿宋_GB2312"/>
          <w:snapToGrid w:val="0"/>
          <w:kern w:val="0"/>
          <w:sz w:val="32"/>
        </w:rPr>
        <w:t>本办法所称驻济高校，是指根据国家有关规定批准设立、实施高等学历教育的驻济全日制普通本科高等学校、高等职业学校</w:t>
      </w:r>
      <w:r>
        <w:rPr>
          <w:rFonts w:hint="eastAsia" w:eastAsia="仿宋_GB2312"/>
          <w:snapToGrid w:val="0"/>
          <w:kern w:val="0"/>
          <w:sz w:val="32"/>
        </w:rPr>
        <w:t>、</w:t>
      </w:r>
      <w:r>
        <w:rPr>
          <w:rFonts w:eastAsia="仿宋_GB2312"/>
          <w:snapToGrid w:val="0"/>
          <w:kern w:val="0"/>
          <w:sz w:val="32"/>
        </w:rPr>
        <w:t>高等专科学校。</w:t>
      </w:r>
    </w:p>
    <w:p w14:paraId="3A2E6639">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eastAsia="仿宋_GB2312"/>
          <w:snapToGrid w:val="0"/>
          <w:kern w:val="0"/>
          <w:sz w:val="32"/>
        </w:rPr>
      </w:pPr>
      <w:r>
        <w:rPr>
          <w:rFonts w:hint="eastAsia" w:ascii="黑体" w:hAnsi="黑体" w:eastAsia="黑体" w:cs="黑体"/>
          <w:snapToGrid w:val="0"/>
          <w:kern w:val="0"/>
          <w:sz w:val="32"/>
        </w:rPr>
        <w:t xml:space="preserve">第三条  </w:t>
      </w:r>
      <w:r>
        <w:rPr>
          <w:rFonts w:eastAsia="仿宋_GB2312"/>
          <w:snapToGrid w:val="0"/>
          <w:kern w:val="0"/>
          <w:sz w:val="32"/>
        </w:rPr>
        <w:t>设立</w:t>
      </w:r>
      <w:r>
        <w:rPr>
          <w:rFonts w:hint="eastAsia" w:eastAsia="仿宋_GB2312"/>
          <w:snapToGrid w:val="0"/>
          <w:kern w:val="0"/>
          <w:sz w:val="32"/>
        </w:rPr>
        <w:t>济南奖学金</w:t>
      </w:r>
      <w:r>
        <w:rPr>
          <w:rFonts w:eastAsia="仿宋_GB2312"/>
          <w:snapToGrid w:val="0"/>
          <w:kern w:val="0"/>
          <w:sz w:val="32"/>
        </w:rPr>
        <w:t>，每年</w:t>
      </w:r>
      <w:r>
        <w:rPr>
          <w:rFonts w:hint="eastAsia" w:eastAsia="仿宋_GB2312"/>
          <w:snapToGrid w:val="0"/>
          <w:kern w:val="0"/>
          <w:sz w:val="32"/>
        </w:rPr>
        <w:t>评</w:t>
      </w:r>
      <w:r>
        <w:rPr>
          <w:rFonts w:eastAsia="仿宋_GB2312"/>
          <w:snapToGrid w:val="0"/>
          <w:kern w:val="0"/>
          <w:sz w:val="32"/>
        </w:rPr>
        <w:t>选</w:t>
      </w:r>
      <w:r>
        <w:rPr>
          <w:rFonts w:hint="eastAsia" w:eastAsia="仿宋_GB2312"/>
          <w:snapToGrid w:val="0"/>
          <w:kern w:val="0"/>
          <w:sz w:val="32"/>
        </w:rPr>
        <w:t>全日制</w:t>
      </w:r>
      <w:r>
        <w:rPr>
          <w:rFonts w:eastAsia="仿宋_GB2312"/>
          <w:snapToGrid w:val="0"/>
          <w:kern w:val="0"/>
          <w:sz w:val="32"/>
        </w:rPr>
        <w:t>优秀高校</w:t>
      </w:r>
      <w:r>
        <w:rPr>
          <w:rFonts w:hint="eastAsia" w:eastAsia="仿宋_GB2312"/>
          <w:snapToGrid w:val="0"/>
          <w:kern w:val="0"/>
          <w:sz w:val="32"/>
        </w:rPr>
        <w:t>毕业年级在校生</w:t>
      </w:r>
      <w:r>
        <w:rPr>
          <w:rFonts w:eastAsia="仿宋_GB2312"/>
          <w:snapToGrid w:val="0"/>
          <w:kern w:val="0"/>
          <w:sz w:val="32"/>
        </w:rPr>
        <w:t>进行奖励。</w:t>
      </w:r>
    </w:p>
    <w:p w14:paraId="6C41437C">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eastAsia="仿宋_GB2312"/>
          <w:snapToGrid w:val="0"/>
          <w:kern w:val="0"/>
          <w:sz w:val="32"/>
        </w:rPr>
      </w:pPr>
      <w:r>
        <w:rPr>
          <w:rFonts w:hint="eastAsia" w:ascii="黑体" w:hAnsi="黑体" w:eastAsia="黑体" w:cs="黑体"/>
          <w:snapToGrid w:val="0"/>
          <w:kern w:val="0"/>
          <w:sz w:val="32"/>
        </w:rPr>
        <w:t xml:space="preserve">第四条  </w:t>
      </w:r>
      <w:r>
        <w:rPr>
          <w:rFonts w:hint="eastAsia" w:eastAsia="仿宋_GB2312"/>
          <w:snapToGrid w:val="0"/>
          <w:kern w:val="0"/>
          <w:sz w:val="32"/>
        </w:rPr>
        <w:t>济南奖学金</w:t>
      </w:r>
      <w:r>
        <w:rPr>
          <w:rFonts w:eastAsia="仿宋_GB2312"/>
          <w:snapToGrid w:val="0"/>
          <w:kern w:val="0"/>
          <w:sz w:val="32"/>
        </w:rPr>
        <w:t>奖励标准为每人每年</w:t>
      </w:r>
      <w:r>
        <w:rPr>
          <w:rFonts w:hint="eastAsia" w:ascii="仿宋_GB2312" w:hAnsi="仿宋_GB2312" w:eastAsia="仿宋_GB2312" w:cs="仿宋_GB2312"/>
          <w:snapToGrid w:val="0"/>
          <w:kern w:val="0"/>
          <w:sz w:val="32"/>
        </w:rPr>
        <w:t>3000元，每年评选500人，</w:t>
      </w:r>
      <w:r>
        <w:rPr>
          <w:rFonts w:hint="eastAsia" w:eastAsia="仿宋_GB2312"/>
          <w:snapToGrid w:val="0"/>
          <w:kern w:val="0"/>
          <w:sz w:val="32"/>
        </w:rPr>
        <w:t>资金在市委人才办专项资金中支出。其中，设立</w:t>
      </w:r>
      <w:r>
        <w:rPr>
          <w:rFonts w:hint="eastAsia" w:ascii="仿宋_GB2312" w:hAnsi="仿宋_GB2312" w:eastAsia="仿宋_GB2312" w:cs="仿宋_GB2312"/>
          <w:snapToGrid w:val="0"/>
          <w:kern w:val="0"/>
          <w:sz w:val="32"/>
        </w:rPr>
        <w:t>10-20名“济南奖学金菁英奖”，每人奖励1万元</w:t>
      </w:r>
      <w:r>
        <w:rPr>
          <w:rFonts w:hint="eastAsia" w:eastAsia="仿宋_GB2312"/>
          <w:snapToGrid w:val="0"/>
          <w:kern w:val="0"/>
          <w:sz w:val="32"/>
        </w:rPr>
        <w:t>。</w:t>
      </w:r>
    </w:p>
    <w:p w14:paraId="112D7C25">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eastAsia="仿宋_GB2312"/>
          <w:snapToGrid w:val="0"/>
          <w:kern w:val="0"/>
          <w:sz w:val="32"/>
        </w:rPr>
      </w:pPr>
      <w:r>
        <w:rPr>
          <w:rFonts w:hint="eastAsia" w:ascii="黑体" w:hAnsi="黑体" w:eastAsia="黑体" w:cs="黑体"/>
          <w:snapToGrid w:val="0"/>
          <w:kern w:val="0"/>
          <w:sz w:val="32"/>
        </w:rPr>
        <w:t xml:space="preserve">第五条  </w:t>
      </w:r>
      <w:r>
        <w:rPr>
          <w:rFonts w:hint="eastAsia" w:eastAsia="仿宋_GB2312"/>
          <w:snapToGrid w:val="0"/>
          <w:kern w:val="0"/>
          <w:sz w:val="32"/>
        </w:rPr>
        <w:t>济南奖学金</w:t>
      </w:r>
      <w:r>
        <w:rPr>
          <w:rFonts w:eastAsia="仿宋_GB2312"/>
          <w:snapToGrid w:val="0"/>
          <w:kern w:val="0"/>
          <w:sz w:val="32"/>
        </w:rPr>
        <w:t>的申请条件:</w:t>
      </w:r>
    </w:p>
    <w:p w14:paraId="21570897">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申请济南奖学金必须满足以下基本条件:</w:t>
      </w:r>
    </w:p>
    <w:p w14:paraId="244C44B4">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1.热爱社会主义祖国，拥护中国共产党的领导；</w:t>
      </w:r>
    </w:p>
    <w:p w14:paraId="775B15C9">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2.遵守宪法和法律，遵守学校规章制度；</w:t>
      </w:r>
    </w:p>
    <w:p w14:paraId="1620698A">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3.道德品质优良；</w:t>
      </w:r>
    </w:p>
    <w:p w14:paraId="069DF15B">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4.积极参加院校组织的各项活动，有较强的集体荣誉感和社会责任感；</w:t>
      </w:r>
    </w:p>
    <w:p w14:paraId="63537757">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5.高校济南校区全日制毕业年级学生；</w:t>
      </w:r>
    </w:p>
    <w:p w14:paraId="2F6E5486">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6.学习成绩优秀。学习成绩与综合考评成绩排名均位于院系前15%（含）。</w:t>
      </w:r>
    </w:p>
    <w:p w14:paraId="46879700">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满足以上基本条件，同时具备下列条件之一者学习成绩与综合考评成绩排名可放宽到院系前30%（含）。</w:t>
      </w:r>
    </w:p>
    <w:p w14:paraId="5D593470">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1.在社会主义精神文明建设中榜样作用显著，具有见义勇为、奉献爱心、服务社会、自立自强的突出表现，在本校产生重大影响，在济南市产生较大影响；</w:t>
      </w:r>
    </w:p>
    <w:p w14:paraId="546E225F">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2.在学术研究上取得显著成绩，以第一作者发表的论文被SCI，EI、CPCI、SSCI全文收录，以第一、二作者出版通过专家鉴定的学术专著；</w:t>
      </w:r>
    </w:p>
    <w:p w14:paraId="68E63AE3">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3.在学科竞赛方面取得显著成绩，参加国际和全国、全省性专业学科竞赛、课外学术科技竞赛、“互联网＋”大学生创新创业大赛、职业院校技能大赛等竞赛中获国家三等奖、省二等奖及以上奖励；</w:t>
      </w:r>
    </w:p>
    <w:p w14:paraId="0144BFD6">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4.在创新发明方面取得显著成绩，科研成果获省、部级以上奖励或获得通过专家鉴定的国家专利（不包括实用新型专利）；</w:t>
      </w:r>
    </w:p>
    <w:p w14:paraId="3D524752">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5.在体育竞赛中取得显著成绩，非体育专业学生参加省级以上体育比赛获得个人项目前三名，集体项目前二名；高水平运动员参加国际和全国性体育比赛获得个人项目前三名、集体项目前二名。集体项目应为主力队员；</w:t>
      </w:r>
    </w:p>
    <w:p w14:paraId="3511B76E">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6.在艺术比赛中取得显著成绩，参加国际和全国性比赛获得前三名，参加省级比赛获得第一名。参加集体项目的应为主要演员；</w:t>
      </w:r>
    </w:p>
    <w:p w14:paraId="2BA13ACD">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7.青年五四奖章、大学生年度人物等全国、全省、全市荣誉称号获得者；</w:t>
      </w:r>
    </w:p>
    <w:p w14:paraId="065B44CC">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8.其他应当认定为表现非常突出的情形。</w:t>
      </w:r>
    </w:p>
    <w:p w14:paraId="7E591003">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eastAsia="仿宋_GB2312"/>
          <w:snapToGrid w:val="0"/>
          <w:kern w:val="0"/>
          <w:sz w:val="32"/>
        </w:rPr>
      </w:pPr>
      <w:r>
        <w:rPr>
          <w:rFonts w:hint="eastAsia" w:ascii="黑体" w:hAnsi="黑体" w:eastAsia="黑体" w:cs="黑体"/>
          <w:snapToGrid w:val="0"/>
          <w:kern w:val="0"/>
          <w:sz w:val="32"/>
        </w:rPr>
        <w:t xml:space="preserve">第六条  </w:t>
      </w:r>
      <w:r>
        <w:rPr>
          <w:rFonts w:hint="eastAsia" w:ascii="仿宋_GB2312" w:hAnsi="仿宋_GB2312" w:eastAsia="仿宋_GB2312" w:cs="仿宋_GB2312"/>
          <w:snapToGrid w:val="0"/>
          <w:kern w:val="0"/>
          <w:sz w:val="32"/>
        </w:rPr>
        <w:t>济南奖学金</w:t>
      </w:r>
      <w:r>
        <w:rPr>
          <w:rFonts w:eastAsia="仿宋_GB2312"/>
          <w:snapToGrid w:val="0"/>
          <w:kern w:val="0"/>
          <w:sz w:val="32"/>
        </w:rPr>
        <w:t>每学年评审一次，坚持公开、公平、公正、择优的原则，实行等额评审。</w:t>
      </w:r>
      <w:r>
        <w:rPr>
          <w:rFonts w:hint="eastAsia" w:eastAsia="仿宋_GB2312"/>
          <w:snapToGrid w:val="0"/>
          <w:kern w:val="0"/>
          <w:sz w:val="32"/>
        </w:rPr>
        <w:t>济南奖学金</w:t>
      </w:r>
      <w:r>
        <w:rPr>
          <w:rFonts w:eastAsia="仿宋_GB2312"/>
          <w:snapToGrid w:val="0"/>
          <w:kern w:val="0"/>
          <w:sz w:val="32"/>
        </w:rPr>
        <w:t>名额在每年</w:t>
      </w:r>
      <w:r>
        <w:rPr>
          <w:rFonts w:hint="eastAsia" w:ascii="仿宋_GB2312" w:hAnsi="仿宋_GB2312" w:eastAsia="仿宋_GB2312" w:cs="仿宋_GB2312"/>
          <w:snapToGrid w:val="0"/>
          <w:kern w:val="0"/>
          <w:sz w:val="32"/>
        </w:rPr>
        <w:t>10月由市教育局根据驻济高校类别、办学层次、办学质量、济南校区全日制毕业年级学生数、</w:t>
      </w:r>
      <w:r>
        <w:rPr>
          <w:rFonts w:hint="eastAsia" w:eastAsia="仿宋_GB2312"/>
          <w:snapToGrid w:val="0"/>
          <w:kern w:val="0"/>
          <w:sz w:val="32"/>
        </w:rPr>
        <w:t>对济南经济社会发展贡献度等因素提出分配方案。</w:t>
      </w:r>
      <w:r>
        <w:rPr>
          <w:rFonts w:eastAsia="仿宋_GB2312"/>
          <w:snapToGrid w:val="0"/>
          <w:kern w:val="0"/>
          <w:sz w:val="32"/>
        </w:rPr>
        <w:t>对服务济南</w:t>
      </w:r>
      <w:r>
        <w:rPr>
          <w:rFonts w:hint="eastAsia" w:eastAsia="仿宋_GB2312"/>
          <w:snapToGrid w:val="0"/>
          <w:kern w:val="0"/>
          <w:sz w:val="32"/>
        </w:rPr>
        <w:t>市重大发展战略、重点产业发展成效突出</w:t>
      </w:r>
      <w:r>
        <w:rPr>
          <w:rFonts w:eastAsia="仿宋_GB2312"/>
          <w:snapToGrid w:val="0"/>
          <w:kern w:val="0"/>
          <w:sz w:val="32"/>
        </w:rPr>
        <w:t>的高校予以适当倾斜。</w:t>
      </w:r>
    </w:p>
    <w:p w14:paraId="09B02D4C">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eastAsia="仿宋_GB2312"/>
          <w:snapToGrid w:val="0"/>
          <w:kern w:val="0"/>
          <w:sz w:val="32"/>
        </w:rPr>
      </w:pPr>
      <w:r>
        <w:rPr>
          <w:rFonts w:hint="eastAsia" w:ascii="黑体" w:hAnsi="黑体" w:eastAsia="黑体" w:cs="黑体"/>
          <w:snapToGrid w:val="0"/>
          <w:kern w:val="0"/>
          <w:sz w:val="32"/>
        </w:rPr>
        <w:t xml:space="preserve">第七条  </w:t>
      </w:r>
      <w:r>
        <w:rPr>
          <w:rFonts w:eastAsia="仿宋_GB2312"/>
          <w:snapToGrid w:val="0"/>
          <w:kern w:val="0"/>
          <w:sz w:val="32"/>
        </w:rPr>
        <w:t>驻济高校要成立评审委员会，制定具体评审办法，按照</w:t>
      </w:r>
      <w:r>
        <w:rPr>
          <w:rFonts w:hint="eastAsia" w:eastAsia="仿宋_GB2312"/>
          <w:snapToGrid w:val="0"/>
          <w:kern w:val="0"/>
          <w:sz w:val="32"/>
        </w:rPr>
        <w:t>“</w:t>
      </w:r>
      <w:r>
        <w:rPr>
          <w:rFonts w:eastAsia="仿宋_GB2312"/>
          <w:snapToGrid w:val="0"/>
          <w:kern w:val="0"/>
          <w:sz w:val="32"/>
        </w:rPr>
        <w:t>申请</w:t>
      </w:r>
      <w:r>
        <w:rPr>
          <w:rFonts w:hint="eastAsia" w:eastAsia="仿宋_GB2312"/>
          <w:snapToGrid w:val="0"/>
          <w:kern w:val="0"/>
          <w:sz w:val="32"/>
        </w:rPr>
        <w:t>—</w:t>
      </w:r>
      <w:r>
        <w:rPr>
          <w:rFonts w:eastAsia="仿宋_GB2312"/>
          <w:snapToGrid w:val="0"/>
          <w:kern w:val="0"/>
          <w:sz w:val="32"/>
        </w:rPr>
        <w:t>初选</w:t>
      </w:r>
      <w:r>
        <w:rPr>
          <w:rFonts w:hint="eastAsia" w:eastAsia="仿宋_GB2312"/>
          <w:snapToGrid w:val="0"/>
          <w:kern w:val="0"/>
          <w:sz w:val="32"/>
        </w:rPr>
        <w:t>—</w:t>
      </w:r>
      <w:r>
        <w:rPr>
          <w:rFonts w:eastAsia="仿宋_GB2312"/>
          <w:snapToGrid w:val="0"/>
          <w:kern w:val="0"/>
          <w:sz w:val="32"/>
        </w:rPr>
        <w:t>复评</w:t>
      </w:r>
      <w:r>
        <w:rPr>
          <w:rFonts w:hint="eastAsia" w:eastAsia="仿宋_GB2312"/>
          <w:snapToGrid w:val="0"/>
          <w:kern w:val="0"/>
          <w:sz w:val="32"/>
        </w:rPr>
        <w:t>—</w:t>
      </w:r>
      <w:r>
        <w:rPr>
          <w:rFonts w:eastAsia="仿宋_GB2312"/>
          <w:snapToGrid w:val="0"/>
          <w:kern w:val="0"/>
          <w:sz w:val="32"/>
        </w:rPr>
        <w:t>公示</w:t>
      </w:r>
      <w:r>
        <w:rPr>
          <w:rFonts w:hint="eastAsia" w:eastAsia="仿宋_GB2312"/>
          <w:snapToGrid w:val="0"/>
          <w:kern w:val="0"/>
          <w:sz w:val="32"/>
        </w:rPr>
        <w:t>”</w:t>
      </w:r>
      <w:r>
        <w:rPr>
          <w:rFonts w:eastAsia="仿宋_GB2312"/>
          <w:snapToGrid w:val="0"/>
          <w:kern w:val="0"/>
          <w:sz w:val="32"/>
        </w:rPr>
        <w:t>的基本流程，组织评审工作，等额推荐获奖学生，</w:t>
      </w:r>
      <w:r>
        <w:rPr>
          <w:rFonts w:hint="eastAsia" w:eastAsia="仿宋_GB2312"/>
          <w:snapToGrid w:val="0"/>
          <w:kern w:val="0"/>
          <w:sz w:val="32"/>
        </w:rPr>
        <w:t>并</w:t>
      </w:r>
      <w:r>
        <w:rPr>
          <w:rFonts w:eastAsia="仿宋_GB2312"/>
          <w:snapToGrid w:val="0"/>
          <w:kern w:val="0"/>
          <w:sz w:val="32"/>
        </w:rPr>
        <w:t>在全校范围内公示不少</w:t>
      </w:r>
      <w:r>
        <w:rPr>
          <w:rFonts w:hint="eastAsia" w:ascii="仿宋_GB2312" w:hAnsi="仿宋_GB2312" w:eastAsia="仿宋_GB2312" w:cs="仿宋_GB2312"/>
          <w:snapToGrid w:val="0"/>
          <w:kern w:val="0"/>
          <w:sz w:val="32"/>
        </w:rPr>
        <w:t>于5</w:t>
      </w:r>
      <w:r>
        <w:rPr>
          <w:rFonts w:eastAsia="仿宋_GB2312"/>
          <w:snapToGrid w:val="0"/>
          <w:kern w:val="0"/>
          <w:sz w:val="32"/>
        </w:rPr>
        <w:t>个工作日。</w:t>
      </w:r>
    </w:p>
    <w:p w14:paraId="566C85E8">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eastAsia="仿宋_GB2312"/>
          <w:snapToGrid w:val="0"/>
          <w:kern w:val="0"/>
          <w:sz w:val="32"/>
        </w:rPr>
      </w:pPr>
      <w:r>
        <w:rPr>
          <w:rFonts w:hint="eastAsia" w:ascii="黑体" w:hAnsi="黑体" w:eastAsia="黑体" w:cs="黑体"/>
          <w:snapToGrid w:val="0"/>
          <w:kern w:val="0"/>
          <w:sz w:val="32"/>
        </w:rPr>
        <w:t xml:space="preserve">第八条  </w:t>
      </w:r>
      <w:r>
        <w:rPr>
          <w:rFonts w:eastAsia="仿宋_GB2312"/>
          <w:snapToGrid w:val="0"/>
          <w:kern w:val="0"/>
          <w:sz w:val="32"/>
        </w:rPr>
        <w:t>驻济高校</w:t>
      </w:r>
      <w:r>
        <w:rPr>
          <w:rFonts w:hint="eastAsia" w:ascii="仿宋_GB2312" w:hAnsi="仿宋_GB2312" w:eastAsia="仿宋_GB2312" w:cs="仿宋_GB2312"/>
          <w:snapToGrid w:val="0"/>
          <w:kern w:val="0"/>
          <w:sz w:val="32"/>
        </w:rPr>
        <w:t>通过济南市学生资助管理网的“济南市学生资助管理信息系</w:t>
      </w:r>
      <w:r>
        <w:rPr>
          <w:rFonts w:eastAsia="仿宋_GB2312"/>
          <w:snapToGrid w:val="0"/>
          <w:kern w:val="0"/>
          <w:sz w:val="32"/>
        </w:rPr>
        <w:t>统</w:t>
      </w:r>
      <w:r>
        <w:rPr>
          <w:rFonts w:hint="eastAsia" w:eastAsia="仿宋_GB2312"/>
          <w:snapToGrid w:val="0"/>
          <w:kern w:val="0"/>
          <w:sz w:val="32"/>
        </w:rPr>
        <w:t>”</w:t>
      </w:r>
      <w:r>
        <w:rPr>
          <w:rFonts w:eastAsia="仿宋_GB2312"/>
          <w:snapToGrid w:val="0"/>
          <w:kern w:val="0"/>
          <w:sz w:val="32"/>
        </w:rPr>
        <w:t>下</w:t>
      </w:r>
      <w:r>
        <w:rPr>
          <w:rFonts w:hint="eastAsia" w:eastAsia="仿宋_GB2312"/>
          <w:snapToGrid w:val="0"/>
          <w:kern w:val="0"/>
          <w:sz w:val="32"/>
        </w:rPr>
        <w:t>“</w:t>
      </w:r>
      <w:r>
        <w:rPr>
          <w:rFonts w:eastAsia="仿宋_GB2312"/>
          <w:snapToGrid w:val="0"/>
          <w:kern w:val="0"/>
          <w:sz w:val="32"/>
        </w:rPr>
        <w:t>奖助学金</w:t>
      </w:r>
      <w:r>
        <w:rPr>
          <w:rFonts w:hint="eastAsia" w:eastAsia="仿宋_GB2312"/>
          <w:snapToGrid w:val="0"/>
          <w:kern w:val="0"/>
          <w:sz w:val="32"/>
        </w:rPr>
        <w:t>”</w:t>
      </w:r>
      <w:r>
        <w:rPr>
          <w:rFonts w:eastAsia="仿宋_GB2312"/>
          <w:snapToGrid w:val="0"/>
          <w:kern w:val="0"/>
          <w:sz w:val="32"/>
        </w:rPr>
        <w:t>模块报送</w:t>
      </w:r>
      <w:r>
        <w:rPr>
          <w:rFonts w:hint="eastAsia" w:eastAsia="仿宋_GB2312"/>
          <w:snapToGrid w:val="0"/>
          <w:kern w:val="0"/>
          <w:sz w:val="32"/>
        </w:rPr>
        <w:t>济南奖学金</w:t>
      </w:r>
      <w:r>
        <w:rPr>
          <w:rFonts w:eastAsia="仿宋_GB2312"/>
          <w:snapToGrid w:val="0"/>
          <w:kern w:val="0"/>
          <w:sz w:val="32"/>
        </w:rPr>
        <w:t>评审情况报告、《</w:t>
      </w:r>
      <w:r>
        <w:rPr>
          <w:rFonts w:hint="eastAsia" w:eastAsia="仿宋_GB2312"/>
          <w:snapToGrid w:val="0"/>
          <w:kern w:val="0"/>
          <w:sz w:val="32"/>
        </w:rPr>
        <w:t>济南奖学金</w:t>
      </w:r>
      <w:r>
        <w:rPr>
          <w:rFonts w:eastAsia="仿宋_GB2312"/>
          <w:snapToGrid w:val="0"/>
          <w:kern w:val="0"/>
          <w:sz w:val="32"/>
        </w:rPr>
        <w:t>申请审批表》《</w:t>
      </w:r>
      <w:r>
        <w:rPr>
          <w:rFonts w:hint="eastAsia" w:eastAsia="仿宋_GB2312"/>
          <w:snapToGrid w:val="0"/>
          <w:kern w:val="0"/>
          <w:sz w:val="32"/>
        </w:rPr>
        <w:t>济南奖学金</w:t>
      </w:r>
      <w:r>
        <w:rPr>
          <w:rFonts w:eastAsia="仿宋_GB2312"/>
          <w:snapToGrid w:val="0"/>
          <w:kern w:val="0"/>
          <w:sz w:val="32"/>
        </w:rPr>
        <w:t>获奖学生汇总表》、获奖学生相关证明材料（证明材料须由学校审核后加盖学校公章）。</w:t>
      </w:r>
    </w:p>
    <w:p w14:paraId="311B60B9">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仿宋_GB2312" w:eastAsia="仿宋_GB2312" w:cs="仿宋_GB2312"/>
          <w:snapToGrid w:val="0"/>
          <w:kern w:val="0"/>
          <w:sz w:val="32"/>
        </w:rPr>
      </w:pPr>
      <w:r>
        <w:rPr>
          <w:rFonts w:hint="eastAsia" w:ascii="黑体" w:hAnsi="黑体" w:eastAsia="黑体" w:cs="黑体"/>
          <w:snapToGrid w:val="0"/>
          <w:kern w:val="0"/>
          <w:sz w:val="32"/>
        </w:rPr>
        <w:t xml:space="preserve">第九条  </w:t>
      </w:r>
      <w:r>
        <w:rPr>
          <w:rFonts w:eastAsia="仿宋_GB2312"/>
          <w:snapToGrid w:val="0"/>
          <w:kern w:val="0"/>
          <w:sz w:val="32"/>
        </w:rPr>
        <w:t>市教育局会同相关部门成立评审委员会，对</w:t>
      </w:r>
      <w:r>
        <w:rPr>
          <w:rFonts w:hint="eastAsia" w:eastAsia="仿宋_GB2312"/>
          <w:snapToGrid w:val="0"/>
          <w:kern w:val="0"/>
          <w:sz w:val="32"/>
        </w:rPr>
        <w:t>驻济</w:t>
      </w:r>
      <w:r>
        <w:rPr>
          <w:rFonts w:eastAsia="仿宋_GB2312"/>
          <w:snapToGrid w:val="0"/>
          <w:kern w:val="0"/>
          <w:sz w:val="32"/>
        </w:rPr>
        <w:t>高校初评上报材料进行复评，</w:t>
      </w:r>
      <w:r>
        <w:rPr>
          <w:rFonts w:hint="eastAsia" w:eastAsia="仿宋_GB2312"/>
          <w:snapToGrid w:val="0"/>
          <w:kern w:val="0"/>
          <w:sz w:val="32"/>
        </w:rPr>
        <w:t>确定</w:t>
      </w:r>
      <w:r>
        <w:rPr>
          <w:rFonts w:eastAsia="仿宋_GB2312"/>
          <w:snapToGrid w:val="0"/>
          <w:kern w:val="0"/>
          <w:sz w:val="32"/>
        </w:rPr>
        <w:t>拟获</w:t>
      </w:r>
      <w:r>
        <w:rPr>
          <w:rFonts w:hint="eastAsia" w:eastAsia="仿宋_GB2312"/>
          <w:snapToGrid w:val="0"/>
          <w:kern w:val="0"/>
          <w:sz w:val="32"/>
        </w:rPr>
        <w:t>济南奖学金奖学生</w:t>
      </w:r>
      <w:r>
        <w:rPr>
          <w:rFonts w:eastAsia="仿宋_GB2312"/>
          <w:snapToGrid w:val="0"/>
          <w:kern w:val="0"/>
          <w:sz w:val="32"/>
        </w:rPr>
        <w:t>名单</w:t>
      </w:r>
      <w:r>
        <w:rPr>
          <w:rFonts w:hint="eastAsia" w:eastAsia="仿宋_GB2312"/>
          <w:snapToGrid w:val="0"/>
          <w:kern w:val="0"/>
          <w:sz w:val="32"/>
        </w:rPr>
        <w:t>。在济南奖学金获奖学生中</w:t>
      </w:r>
      <w:r>
        <w:rPr>
          <w:rFonts w:hint="eastAsia" w:ascii="仿宋_GB2312" w:hAnsi="仿宋_GB2312" w:eastAsia="仿宋_GB2312" w:cs="仿宋_GB2312"/>
          <w:snapToGrid w:val="0"/>
          <w:kern w:val="0"/>
          <w:sz w:val="32"/>
          <w:szCs w:val="32"/>
        </w:rPr>
        <w:t>遴选</w:t>
      </w:r>
      <w:r>
        <w:rPr>
          <w:rFonts w:hint="eastAsia" w:ascii="仿宋_GB2312" w:hAnsi="仿宋_GB2312" w:eastAsia="仿宋_GB2312" w:cs="仿宋_GB2312"/>
          <w:snapToGrid w:val="0"/>
          <w:kern w:val="0"/>
          <w:sz w:val="32"/>
        </w:rPr>
        <w:t>10-20</w:t>
      </w:r>
      <w:r>
        <w:rPr>
          <w:rFonts w:hint="eastAsia" w:eastAsia="仿宋_GB2312"/>
          <w:snapToGrid w:val="0"/>
          <w:kern w:val="0"/>
          <w:sz w:val="32"/>
        </w:rPr>
        <w:t>名</w:t>
      </w:r>
      <w:r>
        <w:rPr>
          <w:rFonts w:hint="eastAsia" w:ascii="仿宋_GB2312" w:hAnsi="仿宋_GB2312" w:eastAsia="仿宋_GB2312" w:cs="仿宋_GB2312"/>
          <w:snapToGrid w:val="0"/>
          <w:kern w:val="0"/>
          <w:sz w:val="32"/>
        </w:rPr>
        <w:t>“济南奖学金菁英奖”获得者，“济南奖学金菁英奖”实施细则另行制定。</w:t>
      </w:r>
    </w:p>
    <w:p w14:paraId="27693EDE">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eastAsia="仿宋_GB2312"/>
          <w:snapToGrid w:val="0"/>
          <w:kern w:val="0"/>
          <w:sz w:val="32"/>
        </w:rPr>
      </w:pPr>
      <w:r>
        <w:rPr>
          <w:rFonts w:hint="eastAsia" w:ascii="黑体" w:hAnsi="黑体" w:eastAsia="黑体" w:cs="黑体"/>
          <w:snapToGrid w:val="0"/>
          <w:kern w:val="0"/>
          <w:sz w:val="32"/>
        </w:rPr>
        <w:t xml:space="preserve">第十条  </w:t>
      </w:r>
      <w:r>
        <w:rPr>
          <w:rFonts w:eastAsia="仿宋_GB2312"/>
          <w:snapToGrid w:val="0"/>
          <w:kern w:val="0"/>
          <w:sz w:val="32"/>
        </w:rPr>
        <w:t>市</w:t>
      </w:r>
      <w:r>
        <w:rPr>
          <w:rFonts w:hint="eastAsia" w:eastAsia="仿宋_GB2312"/>
          <w:snapToGrid w:val="0"/>
          <w:kern w:val="0"/>
          <w:sz w:val="32"/>
        </w:rPr>
        <w:t>教育局</w:t>
      </w:r>
      <w:r>
        <w:rPr>
          <w:rFonts w:eastAsia="仿宋_GB2312"/>
          <w:snapToGrid w:val="0"/>
          <w:kern w:val="0"/>
          <w:sz w:val="32"/>
        </w:rPr>
        <w:t>根据</w:t>
      </w:r>
      <w:r>
        <w:rPr>
          <w:rFonts w:hint="eastAsia" w:eastAsia="仿宋_GB2312"/>
          <w:snapToGrid w:val="0"/>
          <w:kern w:val="0"/>
          <w:sz w:val="32"/>
        </w:rPr>
        <w:t>济南奖学金</w:t>
      </w:r>
      <w:r>
        <w:rPr>
          <w:rFonts w:eastAsia="仿宋_GB2312"/>
          <w:snapToGrid w:val="0"/>
          <w:kern w:val="0"/>
          <w:sz w:val="32"/>
        </w:rPr>
        <w:t>实际获奖人数</w:t>
      </w:r>
      <w:r>
        <w:rPr>
          <w:rFonts w:hint="eastAsia" w:eastAsia="仿宋_GB2312"/>
          <w:snapToGrid w:val="0"/>
          <w:kern w:val="0"/>
          <w:sz w:val="32"/>
        </w:rPr>
        <w:t>，</w:t>
      </w:r>
      <w:r>
        <w:rPr>
          <w:rFonts w:eastAsia="仿宋_GB2312"/>
          <w:snapToGrid w:val="0"/>
          <w:kern w:val="0"/>
          <w:sz w:val="32"/>
        </w:rPr>
        <w:t>将</w:t>
      </w:r>
      <w:r>
        <w:rPr>
          <w:rFonts w:hint="eastAsia" w:eastAsia="仿宋_GB2312"/>
          <w:snapToGrid w:val="0"/>
          <w:kern w:val="0"/>
          <w:sz w:val="32"/>
        </w:rPr>
        <w:t>奖学金</w:t>
      </w:r>
      <w:r>
        <w:rPr>
          <w:rFonts w:eastAsia="仿宋_GB2312"/>
          <w:snapToGrid w:val="0"/>
          <w:kern w:val="0"/>
          <w:sz w:val="32"/>
        </w:rPr>
        <w:t>一次性发放</w:t>
      </w:r>
      <w:r>
        <w:rPr>
          <w:rFonts w:hint="eastAsia" w:eastAsia="仿宋_GB2312"/>
          <w:snapToGrid w:val="0"/>
          <w:kern w:val="0"/>
          <w:sz w:val="32"/>
        </w:rPr>
        <w:t>至驻济高校账户。驻济高校需在</w:t>
      </w:r>
      <w:r>
        <w:rPr>
          <w:rFonts w:hint="eastAsia" w:ascii="仿宋_GB2312" w:hAnsi="仿宋_GB2312" w:eastAsia="仿宋_GB2312" w:cs="仿宋_GB2312"/>
          <w:snapToGrid w:val="0"/>
          <w:kern w:val="0"/>
          <w:sz w:val="32"/>
        </w:rPr>
        <w:t>5</w:t>
      </w:r>
      <w:r>
        <w:rPr>
          <w:rFonts w:hint="eastAsia" w:eastAsia="仿宋_GB2312"/>
          <w:snapToGrid w:val="0"/>
          <w:kern w:val="0"/>
          <w:sz w:val="32"/>
        </w:rPr>
        <w:t>日内将奖学金发放至</w:t>
      </w:r>
      <w:r>
        <w:rPr>
          <w:rFonts w:eastAsia="仿宋_GB2312"/>
          <w:snapToGrid w:val="0"/>
          <w:kern w:val="0"/>
          <w:sz w:val="32"/>
        </w:rPr>
        <w:t>获奖学生</w:t>
      </w:r>
      <w:r>
        <w:rPr>
          <w:rFonts w:hint="eastAsia" w:eastAsia="仿宋_GB2312"/>
          <w:snapToGrid w:val="0"/>
          <w:kern w:val="0"/>
          <w:sz w:val="32"/>
        </w:rPr>
        <w:t>个</w:t>
      </w:r>
      <w:r>
        <w:rPr>
          <w:rFonts w:eastAsia="仿宋_GB2312"/>
          <w:snapToGrid w:val="0"/>
          <w:kern w:val="0"/>
          <w:sz w:val="32"/>
        </w:rPr>
        <w:t>人账户</w:t>
      </w:r>
      <w:r>
        <w:rPr>
          <w:rFonts w:hint="eastAsia" w:eastAsia="仿宋_GB2312"/>
          <w:snapToGrid w:val="0"/>
          <w:kern w:val="0"/>
          <w:sz w:val="32"/>
        </w:rPr>
        <w:t>，并将发放凭证报市教育局</w:t>
      </w:r>
      <w:r>
        <w:rPr>
          <w:rFonts w:eastAsia="仿宋_GB2312"/>
          <w:snapToGrid w:val="0"/>
          <w:kern w:val="0"/>
          <w:sz w:val="32"/>
        </w:rPr>
        <w:t>。</w:t>
      </w:r>
    </w:p>
    <w:p w14:paraId="70CDB0B4">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eastAsia="仿宋_GB2312"/>
          <w:snapToGrid w:val="0"/>
          <w:kern w:val="0"/>
          <w:sz w:val="32"/>
        </w:rPr>
      </w:pPr>
      <w:r>
        <w:rPr>
          <w:rFonts w:hint="eastAsia" w:ascii="黑体" w:hAnsi="黑体" w:eastAsia="黑体" w:cs="黑体"/>
          <w:snapToGrid w:val="0"/>
          <w:kern w:val="0"/>
          <w:sz w:val="32"/>
        </w:rPr>
        <w:t xml:space="preserve">第十一条  </w:t>
      </w:r>
      <w:r>
        <w:rPr>
          <w:rFonts w:eastAsia="仿宋_GB2312"/>
          <w:snapToGrid w:val="0"/>
          <w:kern w:val="0"/>
          <w:sz w:val="32"/>
        </w:rPr>
        <w:t>举行</w:t>
      </w:r>
      <w:r>
        <w:rPr>
          <w:rFonts w:hint="eastAsia" w:eastAsia="仿宋_GB2312"/>
          <w:snapToGrid w:val="0"/>
          <w:kern w:val="0"/>
          <w:sz w:val="32"/>
        </w:rPr>
        <w:t>济南奖学金</w:t>
      </w:r>
      <w:r>
        <w:rPr>
          <w:rFonts w:eastAsia="仿宋_GB2312"/>
          <w:snapToGrid w:val="0"/>
          <w:kern w:val="0"/>
          <w:sz w:val="32"/>
        </w:rPr>
        <w:t>颁奖仪式，颁发奖励证书。驻济高校应将该奖项记入学生学籍档案。</w:t>
      </w:r>
    </w:p>
    <w:p w14:paraId="3521A3C0">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eastAsia="仿宋_GB2312"/>
          <w:snapToGrid w:val="0"/>
          <w:kern w:val="0"/>
          <w:sz w:val="32"/>
        </w:rPr>
      </w:pPr>
      <w:r>
        <w:rPr>
          <w:rFonts w:hint="eastAsia" w:ascii="黑体" w:hAnsi="黑体" w:eastAsia="黑体" w:cs="黑体"/>
          <w:snapToGrid w:val="0"/>
          <w:kern w:val="0"/>
          <w:sz w:val="32"/>
        </w:rPr>
        <w:t>第十二条</w:t>
      </w:r>
      <w:r>
        <w:rPr>
          <w:rFonts w:hint="eastAsia" w:eastAsia="仿宋_GB2312"/>
          <w:snapToGrid w:val="0"/>
          <w:color w:val="0000FF"/>
          <w:kern w:val="0"/>
          <w:sz w:val="32"/>
        </w:rPr>
        <w:t xml:space="preserve">  </w:t>
      </w:r>
      <w:r>
        <w:rPr>
          <w:rFonts w:eastAsia="仿宋_GB2312"/>
          <w:snapToGrid w:val="0"/>
          <w:kern w:val="0"/>
          <w:sz w:val="32"/>
        </w:rPr>
        <w:t>组建</w:t>
      </w:r>
      <w:r>
        <w:rPr>
          <w:rFonts w:hint="eastAsia" w:eastAsia="仿宋_GB2312"/>
          <w:snapToGrid w:val="0"/>
          <w:kern w:val="0"/>
          <w:sz w:val="32"/>
        </w:rPr>
        <w:t>济南奖学金</w:t>
      </w:r>
      <w:r>
        <w:rPr>
          <w:rFonts w:eastAsia="仿宋_GB2312"/>
          <w:snapToGrid w:val="0"/>
          <w:kern w:val="0"/>
          <w:sz w:val="32"/>
        </w:rPr>
        <w:t>获奖学子事迹报告团，到我市</w:t>
      </w:r>
      <w:r>
        <w:rPr>
          <w:rFonts w:hint="eastAsia" w:eastAsia="仿宋_GB2312"/>
          <w:snapToGrid w:val="0"/>
          <w:kern w:val="0"/>
          <w:sz w:val="32"/>
        </w:rPr>
        <w:t>大</w:t>
      </w:r>
      <w:r>
        <w:rPr>
          <w:rFonts w:eastAsia="仿宋_GB2312"/>
          <w:snapToGrid w:val="0"/>
          <w:kern w:val="0"/>
          <w:sz w:val="32"/>
        </w:rPr>
        <w:t>中小学巡回报告，激发学生学习热情和热爱济南的情感。</w:t>
      </w:r>
    </w:p>
    <w:p w14:paraId="7F1B7ED2">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eastAsia="仿宋_GB2312"/>
          <w:snapToGrid w:val="0"/>
          <w:kern w:val="0"/>
          <w:sz w:val="32"/>
        </w:rPr>
      </w:pPr>
      <w:r>
        <w:rPr>
          <w:rFonts w:hint="eastAsia" w:ascii="黑体" w:hAnsi="黑体" w:eastAsia="黑体" w:cs="黑体"/>
          <w:snapToGrid w:val="0"/>
          <w:kern w:val="0"/>
          <w:sz w:val="32"/>
        </w:rPr>
        <w:t xml:space="preserve">第十三条  </w:t>
      </w:r>
      <w:r>
        <w:rPr>
          <w:rFonts w:eastAsia="仿宋_GB2312"/>
          <w:snapToGrid w:val="0"/>
          <w:kern w:val="0"/>
          <w:sz w:val="32"/>
        </w:rPr>
        <w:t>驻济高校要严格遵守本办法各项规定，坚决杜绝暗箱操作、轮流坐庄、截留、挪用、盘剥克扣等违规违纪行为，违者将按照相关规定严肃处理，并在下一学年下达奖学金指标时适当调减其指标名额。</w:t>
      </w:r>
    </w:p>
    <w:p w14:paraId="64C7A88C">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eastAsia="仿宋_GB2312"/>
          <w:snapToGrid w:val="0"/>
          <w:kern w:val="0"/>
          <w:sz w:val="32"/>
        </w:rPr>
      </w:pPr>
      <w:r>
        <w:rPr>
          <w:rFonts w:hint="eastAsia" w:ascii="黑体" w:hAnsi="黑体" w:eastAsia="黑体" w:cs="黑体"/>
          <w:snapToGrid w:val="0"/>
          <w:kern w:val="0"/>
          <w:sz w:val="32"/>
        </w:rPr>
        <w:t xml:space="preserve">第十四条  </w:t>
      </w:r>
      <w:r>
        <w:rPr>
          <w:rFonts w:eastAsia="仿宋_GB2312"/>
          <w:snapToGrid w:val="0"/>
          <w:kern w:val="0"/>
          <w:sz w:val="32"/>
        </w:rPr>
        <w:t>本办法</w:t>
      </w:r>
      <w:r>
        <w:rPr>
          <w:rFonts w:hint="eastAsia" w:eastAsia="仿宋_GB2312"/>
          <w:snapToGrid w:val="0"/>
          <w:kern w:val="0"/>
          <w:sz w:val="32"/>
        </w:rPr>
        <w:t>由市教育局负责解释</w:t>
      </w:r>
      <w:r>
        <w:rPr>
          <w:rFonts w:eastAsia="仿宋_GB2312"/>
          <w:snapToGrid w:val="0"/>
          <w:kern w:val="0"/>
          <w:sz w:val="32"/>
        </w:rPr>
        <w:t>。</w:t>
      </w:r>
    </w:p>
    <w:p w14:paraId="39FC6250">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eastAsia="仿宋_GB2312"/>
          <w:snapToGrid w:val="0"/>
          <w:kern w:val="0"/>
          <w:sz w:val="32"/>
        </w:rPr>
      </w:pPr>
      <w:r>
        <w:rPr>
          <w:rFonts w:hint="eastAsia" w:ascii="黑体" w:hAnsi="黑体" w:eastAsia="黑体" w:cs="黑体"/>
          <w:snapToGrid w:val="0"/>
          <w:kern w:val="0"/>
          <w:sz w:val="32"/>
        </w:rPr>
        <w:t xml:space="preserve">第十五条  </w:t>
      </w:r>
      <w:r>
        <w:rPr>
          <w:rFonts w:eastAsia="仿宋_GB2312"/>
          <w:snapToGrid w:val="0"/>
          <w:kern w:val="0"/>
          <w:sz w:val="32"/>
        </w:rPr>
        <w:t>本办法自公布之日起施行</w:t>
      </w:r>
      <w:r>
        <w:rPr>
          <w:rFonts w:hint="eastAsia" w:eastAsia="仿宋_GB2312"/>
          <w:snapToGrid w:val="0"/>
          <w:kern w:val="0"/>
          <w:sz w:val="32"/>
        </w:rPr>
        <w:t>，原《济南“泉城奖学金”实施办法》同步废止</w:t>
      </w:r>
      <w:r>
        <w:rPr>
          <w:rFonts w:eastAsia="仿宋_GB2312"/>
          <w:snapToGrid w:val="0"/>
          <w:kern w:val="0"/>
          <w:sz w:val="32"/>
        </w:rPr>
        <w:t>。</w:t>
      </w:r>
    </w:p>
    <w:p w14:paraId="11AE7BDC">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eastAsia="仿宋_GB2312"/>
          <w:snapToGrid w:val="0"/>
          <w:kern w:val="0"/>
          <w:sz w:val="32"/>
        </w:rPr>
      </w:pPr>
    </w:p>
    <w:p w14:paraId="04EE2FFF">
      <w:pPr>
        <w:spacing w:line="600" w:lineRule="exact"/>
        <w:rPr>
          <w:rFonts w:hint="eastAsia" w:ascii="方正小标宋简体" w:hAnsi="方正小标宋简体" w:eastAsia="方正小标宋简体" w:cs="方正小标宋简体"/>
          <w:sz w:val="44"/>
          <w:szCs w:val="44"/>
        </w:rPr>
      </w:pPr>
    </w:p>
    <w:p w14:paraId="3EDC74AC">
      <w:pPr>
        <w:spacing w:line="600" w:lineRule="exact"/>
        <w:rPr>
          <w:rFonts w:hint="eastAsia" w:ascii="方正小标宋简体" w:hAnsi="方正小标宋简体" w:eastAsia="方正小标宋简体" w:cs="方正小标宋简体"/>
          <w:sz w:val="44"/>
          <w:szCs w:val="44"/>
        </w:rPr>
      </w:pPr>
    </w:p>
    <w:p w14:paraId="7B727163">
      <w:pPr>
        <w:spacing w:line="600" w:lineRule="exact"/>
        <w:rPr>
          <w:rFonts w:hint="eastAsia" w:ascii="方正小标宋简体" w:hAnsi="方正小标宋简体" w:eastAsia="方正小标宋简体" w:cs="方正小标宋简体"/>
          <w:sz w:val="44"/>
          <w:szCs w:val="44"/>
        </w:rPr>
      </w:pPr>
    </w:p>
    <w:p w14:paraId="20F24CCF">
      <w:pPr>
        <w:spacing w:line="600" w:lineRule="exact"/>
        <w:rPr>
          <w:rFonts w:hint="eastAsia" w:ascii="方正小标宋简体" w:hAnsi="方正小标宋简体" w:eastAsia="方正小标宋简体" w:cs="方正小标宋简体"/>
          <w:sz w:val="44"/>
          <w:szCs w:val="44"/>
        </w:rPr>
      </w:pPr>
    </w:p>
    <w:p w14:paraId="340F87A0">
      <w:pPr>
        <w:spacing w:line="600" w:lineRule="exact"/>
        <w:rPr>
          <w:rFonts w:hint="eastAsia" w:ascii="方正小标宋简体" w:hAnsi="方正小标宋简体" w:eastAsia="方正小标宋简体" w:cs="方正小标宋简体"/>
          <w:sz w:val="44"/>
          <w:szCs w:val="44"/>
        </w:rPr>
      </w:pPr>
    </w:p>
    <w:p w14:paraId="31464D12">
      <w:pPr>
        <w:spacing w:line="600" w:lineRule="exact"/>
        <w:rPr>
          <w:rFonts w:hint="eastAsia" w:ascii="方正小标宋简体" w:hAnsi="方正小标宋简体" w:eastAsia="方正小标宋简体" w:cs="方正小标宋简体"/>
          <w:sz w:val="44"/>
          <w:szCs w:val="44"/>
        </w:rPr>
      </w:pPr>
    </w:p>
    <w:p w14:paraId="6DC50FE3">
      <w:pPr>
        <w:spacing w:line="600" w:lineRule="exact"/>
        <w:rPr>
          <w:rFonts w:hint="eastAsia" w:ascii="方正小标宋简体" w:hAnsi="方正小标宋简体" w:eastAsia="方正小标宋简体" w:cs="方正小标宋简体"/>
          <w:sz w:val="44"/>
          <w:szCs w:val="44"/>
        </w:rPr>
      </w:pPr>
    </w:p>
    <w:p w14:paraId="13FD6284">
      <w:pPr>
        <w:spacing w:line="600" w:lineRule="exact"/>
        <w:rPr>
          <w:rFonts w:hint="eastAsia" w:ascii="方正小标宋简体" w:hAnsi="方正小标宋简体" w:eastAsia="方正小标宋简体" w:cs="方正小标宋简体"/>
          <w:sz w:val="44"/>
          <w:szCs w:val="44"/>
        </w:rPr>
      </w:pPr>
    </w:p>
    <w:p w14:paraId="4D5BF3DC">
      <w:pPr>
        <w:spacing w:line="600" w:lineRule="exact"/>
        <w:rPr>
          <w:rFonts w:hint="eastAsia" w:ascii="方正小标宋简体" w:hAnsi="方正小标宋简体" w:eastAsia="方正小标宋简体" w:cs="方正小标宋简体"/>
          <w:sz w:val="44"/>
          <w:szCs w:val="44"/>
        </w:rPr>
      </w:pPr>
    </w:p>
    <w:p w14:paraId="115477AC">
      <w:pPr>
        <w:spacing w:line="600" w:lineRule="exact"/>
        <w:rPr>
          <w:rFonts w:hint="eastAsia" w:ascii="方正小标宋简体" w:hAnsi="方正小标宋简体" w:eastAsia="方正小标宋简体" w:cs="方正小标宋简体"/>
          <w:sz w:val="44"/>
          <w:szCs w:val="44"/>
        </w:rPr>
      </w:pPr>
    </w:p>
    <w:p w14:paraId="3560FAEC">
      <w:pPr>
        <w:spacing w:line="600" w:lineRule="exact"/>
        <w:rPr>
          <w:rFonts w:hint="eastAsia" w:ascii="方正小标宋简体" w:hAnsi="方正小标宋简体" w:eastAsia="方正小标宋简体" w:cs="方正小标宋简体"/>
          <w:sz w:val="44"/>
          <w:szCs w:val="44"/>
        </w:rPr>
      </w:pPr>
    </w:p>
    <w:p w14:paraId="7D33FF15">
      <w:pPr>
        <w:spacing w:line="600" w:lineRule="exact"/>
        <w:rPr>
          <w:rFonts w:hint="eastAsia" w:ascii="方正小标宋简体" w:hAnsi="方正小标宋简体" w:eastAsia="方正小标宋简体" w:cs="方正小标宋简体"/>
          <w:sz w:val="44"/>
          <w:szCs w:val="44"/>
        </w:rPr>
      </w:pPr>
    </w:p>
    <w:p w14:paraId="41FE399D">
      <w:pPr>
        <w:spacing w:line="600" w:lineRule="exact"/>
        <w:rPr>
          <w:rFonts w:hint="eastAsia" w:ascii="方正小标宋简体" w:hAnsi="方正小标宋简体" w:eastAsia="方正小标宋简体" w:cs="方正小标宋简体"/>
          <w:sz w:val="44"/>
          <w:szCs w:val="44"/>
        </w:rPr>
      </w:pPr>
    </w:p>
    <w:p w14:paraId="60A065CD">
      <w:pPr>
        <w:spacing w:line="600" w:lineRule="exact"/>
        <w:rPr>
          <w:rFonts w:hint="eastAsia" w:ascii="方正小标宋简体" w:hAnsi="方正小标宋简体" w:eastAsia="方正小标宋简体" w:cs="方正小标宋简体"/>
          <w:sz w:val="44"/>
          <w:szCs w:val="44"/>
        </w:rPr>
      </w:pPr>
    </w:p>
    <w:p w14:paraId="69106BA7">
      <w:pPr>
        <w:spacing w:line="600" w:lineRule="exact"/>
        <w:rPr>
          <w:rFonts w:hint="eastAsia" w:ascii="方正小标宋简体" w:hAnsi="方正小标宋简体" w:eastAsia="方正小标宋简体" w:cs="方正小标宋简体"/>
          <w:sz w:val="44"/>
          <w:szCs w:val="44"/>
        </w:rPr>
      </w:pPr>
    </w:p>
    <w:p w14:paraId="31D4BCF3">
      <w:pPr>
        <w:spacing w:line="600" w:lineRule="exact"/>
        <w:rPr>
          <w:rFonts w:hint="eastAsia" w:ascii="方正小标宋简体" w:hAnsi="方正小标宋简体" w:eastAsia="方正小标宋简体" w:cs="方正小标宋简体"/>
          <w:sz w:val="44"/>
          <w:szCs w:val="44"/>
        </w:rPr>
      </w:pPr>
    </w:p>
    <w:p w14:paraId="4FE5C83B">
      <w:pPr>
        <w:spacing w:line="600" w:lineRule="exact"/>
        <w:rPr>
          <w:rFonts w:hint="eastAsia" w:ascii="方正小标宋简体" w:hAnsi="方正小标宋简体" w:eastAsia="方正小标宋简体" w:cs="方正小标宋简体"/>
          <w:sz w:val="44"/>
          <w:szCs w:val="44"/>
        </w:rPr>
      </w:pPr>
    </w:p>
    <w:p w14:paraId="669D3BEB">
      <w:pPr>
        <w:spacing w:line="600" w:lineRule="exact"/>
        <w:rPr>
          <w:rFonts w:hint="eastAsia" w:ascii="方正小标宋简体" w:hAnsi="方正小标宋简体" w:eastAsia="方正小标宋简体" w:cs="方正小标宋简体"/>
          <w:sz w:val="44"/>
          <w:szCs w:val="44"/>
        </w:rPr>
      </w:pPr>
    </w:p>
    <w:p w14:paraId="326F8CA8">
      <w:pPr>
        <w:spacing w:line="600" w:lineRule="exact"/>
        <w:rPr>
          <w:rFonts w:hint="eastAsia" w:ascii="方正小标宋简体" w:hAnsi="方正小标宋简体" w:eastAsia="方正小标宋简体" w:cs="方正小标宋简体"/>
          <w:sz w:val="44"/>
          <w:szCs w:val="44"/>
        </w:rPr>
      </w:pPr>
    </w:p>
    <w:p w14:paraId="322C522F">
      <w:pPr>
        <w:spacing w:line="600" w:lineRule="exact"/>
        <w:rPr>
          <w:rFonts w:hint="eastAsia" w:ascii="方正小标宋简体" w:hAnsi="方正小标宋简体" w:eastAsia="方正小标宋简体" w:cs="方正小标宋简体"/>
          <w:sz w:val="44"/>
          <w:szCs w:val="44"/>
        </w:rPr>
      </w:pPr>
    </w:p>
    <w:p w14:paraId="71E00071">
      <w:pPr>
        <w:spacing w:line="600" w:lineRule="exact"/>
        <w:rPr>
          <w:rFonts w:hint="eastAsia" w:ascii="方正小标宋简体" w:hAnsi="方正小标宋简体" w:eastAsia="方正小标宋简体" w:cs="方正小标宋简体"/>
          <w:sz w:val="44"/>
          <w:szCs w:val="44"/>
        </w:rPr>
      </w:pPr>
    </w:p>
    <w:p w14:paraId="7DD30FD0">
      <w:pPr>
        <w:spacing w:line="780" w:lineRule="exact"/>
        <w:rPr>
          <w:rFonts w:hint="eastAsia" w:ascii="方正小标宋简体" w:hAnsi="方正小标宋简体" w:eastAsia="方正小标宋简体" w:cs="方正小标宋简体"/>
          <w:sz w:val="44"/>
          <w:szCs w:val="44"/>
        </w:rPr>
      </w:pPr>
    </w:p>
    <w:p w14:paraId="36FD2BC4">
      <w:pPr>
        <w:spacing w:line="780" w:lineRule="exact"/>
        <w:rPr>
          <w:rFonts w:hint="eastAsia" w:ascii="方正小标宋简体" w:hAnsi="方正小标宋简体" w:eastAsia="方正小标宋简体" w:cs="方正小标宋简体"/>
          <w:sz w:val="44"/>
          <w:szCs w:val="44"/>
        </w:rPr>
      </w:pPr>
    </w:p>
    <w:p w14:paraId="3960A81C">
      <w:pPr>
        <w:spacing w:line="600" w:lineRule="exact"/>
        <w:rPr>
          <w:rFonts w:hint="eastAsia" w:ascii="方正小标宋简体" w:hAnsi="方正小标宋简体" w:eastAsia="方正小标宋简体" w:cs="方正小标宋简体"/>
          <w:sz w:val="44"/>
          <w:szCs w:val="44"/>
        </w:rPr>
      </w:pPr>
    </w:p>
    <w:p w14:paraId="019A618B">
      <w:pPr>
        <w:spacing w:line="600" w:lineRule="exact"/>
        <w:rPr>
          <w:rFonts w:hint="eastAsia" w:ascii="仿宋_GB2312" w:hAnsi="仿宋_GB2312" w:eastAsia="仿宋_GB2312" w:cs="仿宋_GB2312"/>
          <w:sz w:val="32"/>
          <w:szCs w:val="32"/>
        </w:rPr>
      </w:pPr>
    </w:p>
    <w:p w14:paraId="6AE54064">
      <w:pPr>
        <w:spacing w:line="580" w:lineRule="exact"/>
        <w:ind w:firstLine="314" w:firstLineChars="100"/>
        <w:rPr>
          <w:rFonts w:ascii="仿宋_GB2312" w:hAnsi="仿宋" w:eastAsia="仿宋_GB2312"/>
          <w:spacing w:val="-4"/>
          <w:sz w:val="28"/>
          <w:szCs w:val="28"/>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50165</wp:posOffset>
                </wp:positionV>
                <wp:extent cx="5615940" cy="0"/>
                <wp:effectExtent l="0" t="6350" r="0" b="6350"/>
                <wp:wrapNone/>
                <wp:docPr id="8" name="直接连接符 8"/>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2pt;margin-top:3.95pt;height:0pt;width:442.2pt;z-index:251662336;mso-width-relative:page;mso-height-relative:page;" filled="f" stroked="t" coordsize="21600,21600" o:gfxdata="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G7+xQ&#10;1AAAAAUBAAAPAAAAAAAAAAEAIAAAACIAAABkcnMvZG93bnJldi54bWxQSwECFAAUAAAACACHTuJA&#10;6xsIz+wBAADZAwAADgAAAAAAAAABACAAAAAjAQAAZHJzL2Uyb0RvYy54bWxQSwUGAAAAAAYABgBZ&#10;AQAAgQUAAAAA&#10;">
                <v:fill on="f" focussize="0,0"/>
                <v:stroke weight="1pt" color="#000000" joinstyle="round"/>
                <v:imagedata o:title=""/>
                <o:lock v:ext="edit" aspectratio="f"/>
              </v:line>
            </w:pict>
          </mc:Fallback>
        </mc:AlternateContent>
      </w:r>
      <w:r>
        <w:rPr>
          <w:rFonts w:hint="eastAsia" w:ascii="仿宋_GB2312" w:hAnsi="仿宋" w:eastAsia="仿宋_GB2312"/>
          <w:spacing w:val="-4"/>
          <w:sz w:val="28"/>
          <w:szCs w:val="28"/>
        </w:rPr>
        <w:t>抄送：驻济部属、省属高校</w:t>
      </w:r>
    </w:p>
    <w:p w14:paraId="5F19B616">
      <w:pPr>
        <w:tabs>
          <w:tab w:val="left" w:pos="9020"/>
        </w:tabs>
        <w:adjustRightInd w:val="0"/>
        <w:snapToGrid w:val="0"/>
        <w:spacing w:line="600" w:lineRule="exact"/>
        <w:ind w:right="314" w:rightChars="100" w:firstLine="314" w:firstLineChars="100"/>
        <w:rPr>
          <w:rFonts w:hint="eastAsia" w:ascii="仿宋_GB2312" w:hAnsi="仿宋" w:eastAsia="仿宋_GB2312"/>
          <w:spacing w:val="-4"/>
          <w:sz w:val="28"/>
          <w:szCs w:val="28"/>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405765</wp:posOffset>
                </wp:positionV>
                <wp:extent cx="5615940" cy="0"/>
                <wp:effectExtent l="0" t="6350" r="0" b="635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4pt;margin-top:31.95pt;height:0pt;width:442.2pt;z-index:251660288;mso-width-relative:page;mso-height-relative:page;" filled="f" stroked="t" coordsize="21600,21600" o:gfxdata="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P&#10;ewIW1gAAAAcBAAAPAAAAAAAAAAEAIAAAACIAAABkcnMvZG93bnJldi54bWxQSwECFAAUAAAACACH&#10;TuJA5PGkk+0BAADZAwAADgAAAAAAAAABACAAAAAlAQAAZHJzL2Uyb0RvYy54bWxQSwUGAAAAAAYA&#10;BgBZAQAAhAUAAAAA&#10;">
                <v:fill on="f" focussize="0,0"/>
                <v:stroke weight="1pt" color="#000000" joinstyle="round"/>
                <v:imagedata o:title=""/>
                <o:lock v:ext="edit" aspectratio="f"/>
              </v:line>
            </w:pict>
          </mc:Fallback>
        </mc:AlternateContent>
      </w:r>
      <w:r>
        <w:rPr>
          <w:rFonts w:hint="eastAsia" w:ascii="仿宋_GB2312" w:hAnsi="仿宋" w:eastAsia="仿宋_GB2312"/>
          <w:spacing w:val="-4"/>
          <w:sz w:val="28"/>
          <w:szCs w:val="28"/>
        </w:rPr>
        <mc:AlternateContent>
          <mc:Choice Requires="wps">
            <w:drawing>
              <wp:anchor distT="0" distB="0" distL="114300" distR="114300" simplePos="0" relativeHeight="251661312" behindDoc="0" locked="0" layoutInCell="1" allowOverlap="1">
                <wp:simplePos x="0" y="0"/>
                <wp:positionH relativeFrom="column">
                  <wp:posOffset>3987800</wp:posOffset>
                </wp:positionH>
                <wp:positionV relativeFrom="paragraph">
                  <wp:posOffset>845820</wp:posOffset>
                </wp:positionV>
                <wp:extent cx="1495425" cy="379095"/>
                <wp:effectExtent l="6350" t="7620" r="12700" b="1333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495425" cy="379095"/>
                        </a:xfrm>
                        <a:prstGeom prst="rect">
                          <a:avLst/>
                        </a:prstGeom>
                        <a:solidFill>
                          <a:srgbClr val="FFFFFF"/>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4pt;margin-top:66.6pt;height:29.85pt;width:117.75pt;z-index:251661312;mso-width-relative:page;mso-height-relative:page;" fillcolor="#FFFFFF" filled="t" stroked="t" coordsize="21600,21600" o:gfxdata="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13UzSNkAAAALAQAADwAAAAAAAAABACAAAAAiAAAAZHJzL2Rvd25yZXYueG1sUEsB&#10;AhQAFAAAAAgAh07iQGRWxWotAgAAbwQAAA4AAAAAAAAAAQAgAAAAKAEAAGRycy9lMm9Eb2MueG1s&#10;UEsFBgAAAAAGAAYAWQEAAMcFAAAAAA==&#10;">
                <v:fill on="t" focussize="0,0"/>
                <v:stroke color="#FFFFFF" miterlimit="8" joinstyle="miter"/>
                <v:imagedata o:title=""/>
                <o:lock v:ext="edit" aspectratio="f"/>
              </v:rect>
            </w:pict>
          </mc:Fallback>
        </mc:AlternateContent>
      </w:r>
      <w:r>
        <w:rPr>
          <w:rFonts w:hint="eastAsia" w:ascii="仿宋_GB2312" w:hAnsi="仿宋" w:eastAsia="仿宋_GB2312"/>
          <w:spacing w:val="-4"/>
          <w:sz w:val="28"/>
          <w:szCs w:val="28"/>
        </w:rPr>
        <w:t>济南市教育局办公室                        2024年10月30日印发</w:t>
      </w:r>
      <w:r>
        <w:rPr>
          <w:rFonts w:hint="eastAsia" w:ascii="仿宋_GB2312" w:hAnsi="仿宋_GB2312" w:eastAsia="仿宋_GB2312" w:cs="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17780</wp:posOffset>
                </wp:positionH>
                <wp:positionV relativeFrom="paragraph">
                  <wp:posOffset>22225</wp:posOffset>
                </wp:positionV>
                <wp:extent cx="5615940" cy="0"/>
                <wp:effectExtent l="0" t="4445" r="0" b="5080"/>
                <wp:wrapNone/>
                <wp:docPr id="10" name="直接连接符 10"/>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4pt;margin-top:1.75pt;height:0pt;width:442.2pt;z-index:251663360;mso-width-relative:page;mso-height-relative:page;" filled="f" stroked="t" coordsize="21600,21600" o:gfxdata="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0badtIA&#10;AAAFAQAADwAAAAAAAAABACAAAAAiAAAAZHJzL2Rvd25yZXYueG1sUEsBAhQAFAAAAAgAh07iQPv6&#10;0UXsAQAA2gMAAA4AAAAAAAAAAQAgAAAAIQEAAGRycy9lMm9Eb2MueG1sUEsFBgAAAAAGAAYAWQEA&#10;AH8FAAAAAA==&#10;">
                <v:fill on="f" focussize="0,0"/>
                <v:stroke weight="0.5pt" color="#000000" joinstyle="round"/>
                <v:imagedata o:title=""/>
                <o:lock v:ext="edit" aspectratio="f"/>
              </v:line>
            </w:pict>
          </mc:Fallback>
        </mc:AlternateContent>
      </w:r>
    </w:p>
    <w:sectPr>
      <w:footerReference r:id="rId3" w:type="default"/>
      <w:pgSz w:w="11906" w:h="16838"/>
      <w:pgMar w:top="1984" w:right="1474" w:bottom="1701" w:left="1644" w:header="851" w:footer="992" w:gutter="0"/>
      <w:pgNumType w:fmt="decimal"/>
      <w:cols w:space="0" w:num="1"/>
      <w:rtlGutter w:val="0"/>
      <w:docGrid w:type="linesAndChars" w:linePitch="597"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C8A2A">
    <w:pPr>
      <w:pStyle w:val="10"/>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-292100</wp:posOffset>
              </wp:positionV>
              <wp:extent cx="1025525" cy="334010"/>
              <wp:effectExtent l="0" t="0" r="0" b="0"/>
              <wp:wrapNone/>
              <wp:docPr id="1" name="_x0000_s2049"/>
              <wp:cNvGraphicFramePr/>
              <a:graphic xmlns:a="http://schemas.openxmlformats.org/drawingml/2006/main">
                <a:graphicData uri="http://schemas.microsoft.com/office/word/2010/wordprocessingShape">
                  <wps:wsp>
                    <wps:cNvSpPr/>
                    <wps:spPr>
                      <a:xfrm>
                        <a:off x="0" y="0"/>
                        <a:ext cx="1025525" cy="334010"/>
                      </a:xfrm>
                      <a:prstGeom prst="rect">
                        <a:avLst/>
                      </a:prstGeom>
                    </wps:spPr>
                    <wps:txbx>
                      <w:txbxContent>
                        <w:p w14:paraId="05E64F38">
                          <w:pPr>
                            <w:jc w:val="center"/>
                            <w:rPr>
                              <w:rFonts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xml:space="preserve">— </w:t>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asciiTheme="minorEastAsia" w:hAnsiTheme="minorEastAsia" w:eastAsiaTheme="minorEastAsia" w:cstheme="minorEastAsia"/>
                              <w:sz w:val="28"/>
                              <w:szCs w:val="36"/>
                            </w:rPr>
                            <w:t>6</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t xml:space="preserve"> —</w:t>
                          </w:r>
                        </w:p>
                      </w:txbxContent>
                    </wps:txbx>
                    <wps:bodyPr rot="0" vert="horz" wrap="square" lIns="0" tIns="0" rIns="0" bIns="0" anchor="t" anchorCtr="0"/>
                  </wps:wsp>
                </a:graphicData>
              </a:graphic>
            </wp:anchor>
          </w:drawing>
        </mc:Choice>
        <mc:Fallback>
          <w:pict>
            <v:rect id="_x0000_s2049" o:spid="_x0000_s1026" o:spt="1" style="position:absolute;left:0pt;margin-top:-23pt;height:26.3pt;width:80.75pt;mso-position-horizontal:outside;mso-position-horizontal-relative:margin;z-index:251659264;mso-width-relative:page;mso-height-relative:page;" filled="f" stroked="f" coordsize="21600,21600" o:gfxdata="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J89f/XAAAABgEAAA8AAAAAAAAAAQAgAAAAIgAAAGRycy9kb3ducmV2LnhtbFBLAQIUABQAAAAI&#10;AIdO4kCchxFytQEAAHUDAAAOAAAAAAAAAAEAIAAAACYBAABkcnMvZTJvRG9jLnhtbFBLBQYAAAAA&#10;BgAGAFkBAABNBQAAAAA=&#10;">
              <v:fill on="f" focussize="0,0"/>
              <v:stroke on="f"/>
              <v:imagedata o:title=""/>
              <o:lock v:ext="edit" aspectratio="f"/>
              <v:textbox inset="0mm,0mm,0mm,0mm">
                <w:txbxContent>
                  <w:p w14:paraId="05E64F38">
                    <w:pPr>
                      <w:jc w:val="center"/>
                      <w:rPr>
                        <w:rFonts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xml:space="preserve">— </w:t>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asciiTheme="minorEastAsia" w:hAnsiTheme="minorEastAsia" w:eastAsiaTheme="minorEastAsia" w:cstheme="minorEastAsia"/>
                        <w:sz w:val="28"/>
                        <w:szCs w:val="36"/>
                      </w:rPr>
                      <w:t>6</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HorizontalSpacing w:val="157"/>
  <w:drawingGridVerticalSpacing w:val="299"/>
  <w:displayHorizontalDrawingGridEvery w:val="2"/>
  <w:displayVerticalDrawingGridEvery w:val="2"/>
  <w:noPunctuationKerning w:val="1"/>
  <w:characterSpacingControl w:val="compressPunctuation"/>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YWE5YzJmOGY4NTIyNmYzMmI3N2ZiZjAzYmQ1MmQifQ=="/>
  </w:docVars>
  <w:rsids>
    <w:rsidRoot w:val="00175689"/>
    <w:rsid w:val="00175689"/>
    <w:rsid w:val="00250333"/>
    <w:rsid w:val="003B1942"/>
    <w:rsid w:val="005A414E"/>
    <w:rsid w:val="006736DF"/>
    <w:rsid w:val="00751D9D"/>
    <w:rsid w:val="00963E01"/>
    <w:rsid w:val="009B436B"/>
    <w:rsid w:val="00A13EAC"/>
    <w:rsid w:val="00BE0931"/>
    <w:rsid w:val="00CE0C4F"/>
    <w:rsid w:val="00D04251"/>
    <w:rsid w:val="00FC15AB"/>
    <w:rsid w:val="038C30FA"/>
    <w:rsid w:val="06935222"/>
    <w:rsid w:val="08836A59"/>
    <w:rsid w:val="0AC858A8"/>
    <w:rsid w:val="0CEB2E00"/>
    <w:rsid w:val="0F974672"/>
    <w:rsid w:val="0FE3618E"/>
    <w:rsid w:val="10B14C22"/>
    <w:rsid w:val="17013AE2"/>
    <w:rsid w:val="182C2DE0"/>
    <w:rsid w:val="18375D7C"/>
    <w:rsid w:val="19CA28B1"/>
    <w:rsid w:val="1AF20311"/>
    <w:rsid w:val="1C237832"/>
    <w:rsid w:val="22010E3A"/>
    <w:rsid w:val="243E21FA"/>
    <w:rsid w:val="27221F7E"/>
    <w:rsid w:val="279F35CF"/>
    <w:rsid w:val="29217DFF"/>
    <w:rsid w:val="29D47231"/>
    <w:rsid w:val="2AE33D5A"/>
    <w:rsid w:val="2F5F1D9A"/>
    <w:rsid w:val="315E6D35"/>
    <w:rsid w:val="32096215"/>
    <w:rsid w:val="360F303D"/>
    <w:rsid w:val="364A6DFC"/>
    <w:rsid w:val="3720302E"/>
    <w:rsid w:val="37681F91"/>
    <w:rsid w:val="3F3109A9"/>
    <w:rsid w:val="3F7C589E"/>
    <w:rsid w:val="402C34C7"/>
    <w:rsid w:val="42497B5B"/>
    <w:rsid w:val="429554CB"/>
    <w:rsid w:val="447D039C"/>
    <w:rsid w:val="449A71A0"/>
    <w:rsid w:val="49563F1B"/>
    <w:rsid w:val="4A5959BB"/>
    <w:rsid w:val="4A7C0079"/>
    <w:rsid w:val="501C299E"/>
    <w:rsid w:val="51024103"/>
    <w:rsid w:val="51856AE2"/>
    <w:rsid w:val="587D169D"/>
    <w:rsid w:val="631A1780"/>
    <w:rsid w:val="638B442C"/>
    <w:rsid w:val="661701F9"/>
    <w:rsid w:val="67753429"/>
    <w:rsid w:val="6E6F1783"/>
    <w:rsid w:val="6F4B4A6F"/>
    <w:rsid w:val="75A849CA"/>
    <w:rsid w:val="75D92442"/>
    <w:rsid w:val="76A41635"/>
    <w:rsid w:val="7A42348A"/>
    <w:rsid w:val="7BE95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uiPriority w:val="0"/>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默认段落字体1"/>
    <w:semiHidden/>
    <w:qFormat/>
    <w:uiPriority w:val="0"/>
  </w:style>
  <w:style w:type="table" w:customStyle="1" w:styleId="9">
    <w:name w:val="普通表格1"/>
    <w:semiHidden/>
    <w:qFormat/>
    <w:uiPriority w:val="0"/>
    <w:tblPr>
      <w:tblCellMar>
        <w:top w:w="0" w:type="dxa"/>
        <w:left w:w="0" w:type="dxa"/>
        <w:bottom w:w="0" w:type="dxa"/>
        <w:right w:w="0" w:type="dxa"/>
      </w:tblCellMar>
    </w:tblPr>
  </w:style>
  <w:style w:type="paragraph" w:customStyle="1" w:styleId="10">
    <w:name w:val="页脚1"/>
    <w:basedOn w:val="1"/>
    <w:qFormat/>
    <w:uiPriority w:val="0"/>
    <w:pPr>
      <w:tabs>
        <w:tab w:val="center" w:pos="4153"/>
        <w:tab w:val="right" w:pos="8306"/>
      </w:tabs>
      <w:snapToGrid w:val="0"/>
      <w:jc w:val="left"/>
    </w:pPr>
    <w:rPr>
      <w:sz w:val="18"/>
    </w:rPr>
  </w:style>
  <w:style w:type="paragraph" w:customStyle="1" w:styleId="11">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2">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13">
    <w:name w:val="font31"/>
    <w:basedOn w:val="7"/>
    <w:qFormat/>
    <w:uiPriority w:val="0"/>
    <w:rPr>
      <w:rFonts w:hint="eastAsia" w:ascii="宋体" w:hAnsi="宋体" w:eastAsia="宋体" w:cs="宋体"/>
      <w:b/>
      <w:bCs/>
      <w:color w:val="000000"/>
      <w:sz w:val="28"/>
      <w:szCs w:val="28"/>
      <w:u w:val="none"/>
    </w:rPr>
  </w:style>
  <w:style w:type="character" w:customStyle="1" w:styleId="14">
    <w:name w:val="font91"/>
    <w:basedOn w:val="7"/>
    <w:qFormat/>
    <w:uiPriority w:val="0"/>
    <w:rPr>
      <w:rFonts w:ascii="Arial" w:hAnsi="Arial" w:cs="Arial"/>
      <w:b/>
      <w:bCs/>
      <w:color w:val="000000"/>
      <w:sz w:val="28"/>
      <w:szCs w:val="28"/>
      <w:u w:val="none"/>
    </w:rPr>
  </w:style>
  <w:style w:type="character" w:customStyle="1" w:styleId="15">
    <w:name w:val="日期 Char"/>
    <w:basedOn w:val="7"/>
    <w:link w:val="2"/>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315</Words>
  <Characters>1801</Characters>
  <Lines>15</Lines>
  <Paragraphs>4</Paragraphs>
  <TotalTime>22</TotalTime>
  <ScaleCrop>false</ScaleCrop>
  <LinksUpToDate>false</LinksUpToDate>
  <CharactersWithSpaces>2112</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2024-10-31T06:36:00Z</dcterms:created>
  <dc:creator>溜边的胖头鱼</dc:creator>
  <cp:lastModifiedBy>admin</cp:lastModifiedBy>
  <cp:lastPrinted>2024-11-01T01:57:00Z</cp:lastPrinted>
  <dcterms:modified xsi:type="dcterms:W3CDTF">2024-11-01T02:56:59Z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47FCD0997DBF4F6FA20021AA43E1FD8B_13</vt:lpwstr>
  </property>
</Properties>
</file>