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CB023">
      <w:pPr>
        <w:pStyle w:val="7"/>
        <w:keepNext w:val="0"/>
        <w:keepLines w:val="0"/>
        <w:pageBreakBefore w:val="0"/>
        <w:widowControl w:val="0"/>
        <w:kinsoku/>
        <w:wordWrap/>
        <w:overflowPunct/>
        <w:topLinePunct w:val="0"/>
        <w:autoSpaceDE/>
        <w:autoSpaceDN/>
        <w:bidi w:val="0"/>
        <w:adjustRightInd w:val="0"/>
        <w:snapToGrid w:val="0"/>
        <w:jc w:val="left"/>
        <w:textAlignment w:val="auto"/>
        <w:rPr>
          <w:rFonts w:hint="eastAsia" w:ascii="黑体" w:hAnsi="黑体" w:eastAsia="黑体" w:cs="黑体"/>
          <w:color w:val="000000"/>
          <w:spacing w:val="-8"/>
          <w:sz w:val="32"/>
          <w:szCs w:val="32"/>
          <w:lang w:val="en-US" w:eastAsia="zh-CN"/>
        </w:rPr>
      </w:pPr>
      <w:r>
        <w:rPr>
          <w:rFonts w:hint="eastAsia" w:ascii="黑体" w:hAnsi="黑体" w:eastAsia="黑体" w:cs="黑体"/>
          <w:color w:val="000000"/>
          <w:spacing w:val="-8"/>
          <w:sz w:val="32"/>
          <w:szCs w:val="32"/>
          <w:lang w:val="en-US" w:eastAsia="zh-CN"/>
        </w:rPr>
        <w:t>JNCR-2024-0050002</w:t>
      </w:r>
    </w:p>
    <w:p w14:paraId="2050D817">
      <w:pPr>
        <w:pStyle w:val="7"/>
        <w:keepNext w:val="0"/>
        <w:keepLines w:val="0"/>
        <w:pageBreakBefore w:val="0"/>
        <w:widowControl w:val="0"/>
        <w:kinsoku/>
        <w:wordWrap/>
        <w:overflowPunct/>
        <w:topLinePunct w:val="0"/>
        <w:autoSpaceDE/>
        <w:autoSpaceDN/>
        <w:bidi w:val="0"/>
        <w:adjustRightInd w:val="0"/>
        <w:snapToGrid w:val="0"/>
        <w:jc w:val="left"/>
        <w:textAlignment w:val="auto"/>
        <w:rPr>
          <w:rFonts w:hint="eastAsia" w:ascii="黑体" w:hAnsi="黑体" w:eastAsia="黑体" w:cs="黑体"/>
          <w:color w:val="000000"/>
          <w:spacing w:val="-8"/>
          <w:sz w:val="32"/>
          <w:szCs w:val="32"/>
          <w:lang w:val="en-US" w:eastAsia="zh-CN"/>
        </w:rPr>
      </w:pPr>
    </w:p>
    <w:tbl>
      <w:tblPr>
        <w:tblStyle w:val="16"/>
        <w:tblW w:w="88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160"/>
        <w:gridCol w:w="1685"/>
      </w:tblGrid>
      <w:tr w14:paraId="5FE5D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2" w:hRule="atLeast"/>
          <w:jc w:val="center"/>
        </w:trPr>
        <w:tc>
          <w:tcPr>
            <w:tcW w:w="7160" w:type="dxa"/>
            <w:noWrap w:val="0"/>
            <w:vAlign w:val="center"/>
          </w:tcPr>
          <w:p w14:paraId="45B1AB73">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济南市教育局</w:t>
            </w:r>
          </w:p>
          <w:p w14:paraId="6772AA8A">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济南市发展和改革委员会</w:t>
            </w:r>
          </w:p>
          <w:p w14:paraId="3EDF3785">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济南市公安局</w:t>
            </w:r>
          </w:p>
          <w:p w14:paraId="3FDA983D">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济南市民政局</w:t>
            </w:r>
          </w:p>
          <w:p w14:paraId="357BD2D0">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济南市住房和城乡建设局</w:t>
            </w:r>
          </w:p>
          <w:p w14:paraId="3DE352B7">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济南市文化和旅游局</w:t>
            </w:r>
          </w:p>
          <w:p w14:paraId="36FFD86E">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济南市体育局</w:t>
            </w:r>
          </w:p>
          <w:p w14:paraId="4DE874EA">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济南市行政审批服务局</w:t>
            </w:r>
          </w:p>
          <w:p w14:paraId="594A6C30">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济南市消防救援支队</w:t>
            </w:r>
          </w:p>
        </w:tc>
        <w:tc>
          <w:tcPr>
            <w:tcW w:w="1685" w:type="dxa"/>
            <w:noWrap w:val="0"/>
            <w:vAlign w:val="center"/>
          </w:tcPr>
          <w:p w14:paraId="3CA4B293">
            <w:pPr>
              <w:pStyle w:val="7"/>
              <w:spacing w:line="1360" w:lineRule="exact"/>
              <w:jc w:val="right"/>
              <w:rPr>
                <w:rFonts w:hint="eastAsia" w:ascii="Times New Roman" w:hAnsi="Times New Roman" w:eastAsia="方正小标宋简体"/>
                <w:color w:val="FF0000"/>
                <w:w w:val="66"/>
                <w:sz w:val="126"/>
                <w:szCs w:val="126"/>
              </w:rPr>
            </w:pPr>
            <w:r>
              <w:rPr>
                <w:rFonts w:hint="eastAsia" w:ascii="Times New Roman" w:hAnsi="Times New Roman" w:eastAsia="方正小标宋简体"/>
                <w:color w:val="FF0000"/>
                <w:w w:val="66"/>
                <w:sz w:val="126"/>
                <w:szCs w:val="126"/>
              </w:rPr>
              <w:t>文件</w:t>
            </w:r>
          </w:p>
        </w:tc>
      </w:tr>
    </w:tbl>
    <w:p w14:paraId="3BB09E76">
      <w:pPr>
        <w:pStyle w:val="7"/>
        <w:spacing w:line="500" w:lineRule="exact"/>
        <w:jc w:val="center"/>
        <w:rPr>
          <w:rFonts w:hint="eastAsia" w:ascii="Times New Roman" w:hAnsi="Times New Roman"/>
          <w:color w:val="000000"/>
        </w:rPr>
      </w:pPr>
    </w:p>
    <w:p w14:paraId="2538C369">
      <w:pPr>
        <w:pStyle w:val="7"/>
        <w:spacing w:line="500" w:lineRule="exact"/>
        <w:jc w:val="center"/>
        <w:rPr>
          <w:rFonts w:hint="eastAsia" w:ascii="仿宋_GB2312" w:hAnsi="仿宋_GB2312" w:eastAsia="仿宋_GB2312" w:cs="仿宋_GB2312"/>
          <w:color w:val="000000"/>
        </w:rPr>
      </w:pPr>
    </w:p>
    <w:p w14:paraId="54CC227C">
      <w:pPr>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济教发〔202</w:t>
      </w:r>
      <w:r>
        <w:rPr>
          <w:rFonts w:hint="eastAsia" w:ascii="仿宋_GB2312" w:hAnsi="仿宋_GB2312" w:eastAsia="仿宋_GB2312" w:cs="仿宋_GB2312"/>
          <w:lang w:val="en-US" w:eastAsia="zh-CN"/>
        </w:rPr>
        <w:t>4</w:t>
      </w:r>
      <w:r>
        <w:rPr>
          <w:rFonts w:hint="eastAsia" w:ascii="仿宋_GB2312" w:hAnsi="仿宋_GB2312" w:eastAsia="仿宋_GB2312" w:cs="仿宋_GB2312"/>
        </w:rPr>
        <w:t>〕</w:t>
      </w:r>
      <w:r>
        <w:rPr>
          <w:rFonts w:hint="eastAsia" w:ascii="仿宋_GB2312" w:hAnsi="仿宋_GB2312" w:eastAsia="仿宋_GB2312" w:cs="仿宋_GB2312"/>
          <w:lang w:val="en-US" w:eastAsia="zh-CN"/>
        </w:rPr>
        <w:t>21</w:t>
      </w:r>
      <w:r>
        <w:rPr>
          <w:rFonts w:hint="eastAsia" w:ascii="仿宋_GB2312" w:hAnsi="仿宋_GB2312" w:eastAsia="仿宋_GB2312" w:cs="仿宋_GB2312"/>
        </w:rPr>
        <w:t>号</w:t>
      </w:r>
    </w:p>
    <w:p w14:paraId="5F5D59A1">
      <w:pPr>
        <w:pStyle w:val="7"/>
        <w:spacing w:line="500" w:lineRule="exact"/>
        <w:jc w:val="center"/>
        <w:rPr>
          <w:rFonts w:hint="eastAsia" w:ascii="Times New Roman" w:hAnsi="Times New Roman"/>
          <w:color w:val="000000"/>
        </w:rPr>
      </w:pPr>
      <w:r>
        <w:rPr>
          <w:rFonts w:ascii="Times New Roman" w:hAnsi="Times New Roman"/>
          <w:color w:val="00000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64770</wp:posOffset>
                </wp:positionV>
                <wp:extent cx="5615940" cy="0"/>
                <wp:effectExtent l="0" t="9525" r="3810" b="9525"/>
                <wp:wrapNone/>
                <wp:docPr id="31" name="直线 37"/>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37" o:spid="_x0000_s1026" o:spt="20" style="position:absolute;left:0pt;margin-top:5.1pt;height:0pt;width:442.2pt;mso-position-horizontal:center;z-index:251659264;mso-width-relative:page;mso-height-relative:page;" filled="f" stroked="t" coordsize="21600,21600" o:gfxdata="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5T&#10;vAfVAAAABgEAAA8AAAAAAAAAAQAgAAAAIgAAAGRycy9kb3ducmV2LnhtbFBLAQIUABQAAAAIAIdO&#10;4kCPHDXj7QEAAN4DAAAOAAAAAAAAAAEAIAAAACQBAABkcnMvZTJvRG9jLnhtbFBLBQYAAAAABgAG&#10;AFkBAACDBQAAAAA=&#10;">
                <v:fill on="f" focussize="0,0"/>
                <v:stroke weight="1.5pt" color="#FF0000" joinstyle="round"/>
                <v:imagedata o:title=""/>
                <o:lock v:ext="edit" aspectratio="f"/>
              </v:line>
            </w:pict>
          </mc:Fallback>
        </mc:AlternateContent>
      </w:r>
    </w:p>
    <w:p w14:paraId="5DF941C5">
      <w:pPr>
        <w:pStyle w:val="7"/>
        <w:spacing w:line="500" w:lineRule="exact"/>
        <w:jc w:val="center"/>
        <w:rPr>
          <w:rFonts w:hint="eastAsia" w:ascii="Times New Roman" w:hAnsi="Times New Roman"/>
          <w:color w:val="000000"/>
        </w:rPr>
      </w:pPr>
    </w:p>
    <w:p w14:paraId="2E0737C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黑体" w:eastAsia="方正小标宋简体" w:cs="Times New Roman"/>
          <w:snapToGrid w:val="0"/>
          <w:color w:val="000000"/>
          <w:kern w:val="0"/>
          <w:sz w:val="44"/>
          <w:szCs w:val="44"/>
          <w:lang w:val="en-US" w:eastAsia="zh-CN"/>
        </w:rPr>
      </w:pPr>
      <w:bookmarkStart w:id="0" w:name="OLE_LINK1"/>
      <w:r>
        <w:rPr>
          <w:rFonts w:hint="eastAsia" w:ascii="方正小标宋简体" w:hAnsi="黑体" w:eastAsia="方正小标宋简体" w:cs="Times New Roman"/>
          <w:snapToGrid w:val="0"/>
          <w:color w:val="000000"/>
          <w:kern w:val="0"/>
          <w:sz w:val="44"/>
          <w:szCs w:val="44"/>
          <w:lang w:val="en-US" w:eastAsia="zh-CN"/>
        </w:rPr>
        <w:t>济南市教育局等9部门</w:t>
      </w:r>
    </w:p>
    <w:p w14:paraId="7436109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黑体" w:eastAsia="方正小标宋简体" w:cs="Times New Roman"/>
          <w:snapToGrid w:val="0"/>
          <w:color w:val="000000"/>
          <w:kern w:val="0"/>
          <w:sz w:val="44"/>
          <w:szCs w:val="44"/>
          <w:lang w:val="en-US" w:eastAsia="zh-CN"/>
        </w:rPr>
      </w:pPr>
      <w:r>
        <w:rPr>
          <w:rFonts w:hint="eastAsia" w:ascii="方正小标宋简体" w:hAnsi="黑体" w:eastAsia="方正小标宋简体" w:cs="Times New Roman"/>
          <w:snapToGrid w:val="0"/>
          <w:color w:val="000000"/>
          <w:kern w:val="0"/>
          <w:sz w:val="44"/>
          <w:szCs w:val="44"/>
          <w:lang w:val="en-US" w:eastAsia="zh-CN"/>
        </w:rPr>
        <w:t>关于印发《济南市校外培训机构设置标准》</w:t>
      </w:r>
    </w:p>
    <w:p w14:paraId="362F77B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黑体" w:eastAsia="方正小标宋简体" w:cs="Times New Roman"/>
          <w:snapToGrid w:val="0"/>
          <w:color w:val="000000"/>
          <w:kern w:val="0"/>
          <w:sz w:val="44"/>
          <w:szCs w:val="44"/>
          <w:lang w:val="en-US" w:eastAsia="zh-CN"/>
        </w:rPr>
      </w:pPr>
      <w:r>
        <w:rPr>
          <w:rFonts w:hint="eastAsia" w:ascii="方正小标宋简体" w:hAnsi="黑体" w:eastAsia="方正小标宋简体" w:cs="Times New Roman"/>
          <w:snapToGrid w:val="0"/>
          <w:color w:val="000000"/>
          <w:kern w:val="0"/>
          <w:sz w:val="44"/>
          <w:szCs w:val="44"/>
          <w:lang w:val="en-US" w:eastAsia="zh-CN"/>
        </w:rPr>
        <w:t>的 通 知</w:t>
      </w:r>
    </w:p>
    <w:p w14:paraId="112D613E">
      <w:pPr>
        <w:pStyle w:val="2"/>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ascii="方正小标宋简体" w:hAnsi="方正小标宋简体" w:eastAsia="方正小标宋简体" w:cs="方正小标宋简体"/>
          <w:color w:val="000000"/>
          <w:kern w:val="0"/>
          <w:sz w:val="44"/>
          <w:szCs w:val="44"/>
        </w:rPr>
      </w:pPr>
    </w:p>
    <w:p w14:paraId="7225203C">
      <w:pPr>
        <w:pStyle w:val="2"/>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Ansi="仿宋_GB2312" w:cs="仿宋_GB2312"/>
          <w:snapToGrid w:val="0"/>
          <w:color w:val="000000"/>
          <w:spacing w:val="0"/>
          <w:kern w:val="0"/>
          <w:sz w:val="32"/>
          <w:szCs w:val="32"/>
        </w:rPr>
      </w:pPr>
      <w:r>
        <w:rPr>
          <w:rFonts w:hint="eastAsia" w:hAnsi="仿宋_GB2312" w:cs="仿宋_GB2312"/>
          <w:snapToGrid w:val="0"/>
          <w:color w:val="000000"/>
          <w:spacing w:val="0"/>
          <w:kern w:val="0"/>
          <w:sz w:val="32"/>
          <w:szCs w:val="32"/>
        </w:rPr>
        <w:t>各区县教体局、发改局、公安局、民政局、住房城乡建设局、文化和旅游局、行政审批服务局、消防救援大队：</w:t>
      </w:r>
    </w:p>
    <w:p w14:paraId="63D59A38">
      <w:pPr>
        <w:pStyle w:val="2"/>
        <w:keepNext w:val="0"/>
        <w:keepLines w:val="0"/>
        <w:pageBreakBefore w:val="0"/>
        <w:widowControl w:val="0"/>
        <w:kinsoku/>
        <w:wordWrap/>
        <w:overflowPunct/>
        <w:topLinePunct w:val="0"/>
        <w:autoSpaceDE/>
        <w:autoSpaceDN/>
        <w:bidi w:val="0"/>
        <w:adjustRightInd w:val="0"/>
        <w:snapToGrid w:val="0"/>
        <w:spacing w:line="540" w:lineRule="exact"/>
        <w:ind w:firstLine="629"/>
        <w:textAlignment w:val="auto"/>
        <w:rPr>
          <w:rFonts w:hAnsi="仿宋_GB2312" w:cs="仿宋_GB2312"/>
          <w:snapToGrid w:val="0"/>
          <w:color w:val="000000"/>
          <w:spacing w:val="0"/>
          <w:kern w:val="0"/>
          <w:sz w:val="32"/>
          <w:szCs w:val="32"/>
        </w:rPr>
      </w:pPr>
      <w:r>
        <w:rPr>
          <w:rFonts w:hint="eastAsia" w:hAnsi="仿宋_GB2312" w:cs="仿宋_GB2312"/>
          <w:snapToGrid w:val="0"/>
          <w:color w:val="000000"/>
          <w:spacing w:val="0"/>
          <w:kern w:val="0"/>
          <w:sz w:val="32"/>
          <w:szCs w:val="32"/>
        </w:rPr>
        <w:t>为</w:t>
      </w:r>
      <w:r>
        <w:rPr>
          <w:rFonts w:hint="eastAsia" w:hAnsi="仿宋_GB2312" w:cs="仿宋_GB2312"/>
          <w:snapToGrid w:val="0"/>
          <w:spacing w:val="0"/>
          <w:kern w:val="0"/>
          <w:sz w:val="32"/>
          <w:szCs w:val="32"/>
        </w:rPr>
        <w:t>深化我市校外培训机构治理</w:t>
      </w:r>
      <w:r>
        <w:rPr>
          <w:rFonts w:hint="eastAsia" w:hAnsi="仿宋_GB2312" w:cs="仿宋_GB2312"/>
          <w:snapToGrid w:val="0"/>
          <w:spacing w:val="0"/>
          <w:kern w:val="0"/>
          <w:sz w:val="32"/>
          <w:szCs w:val="32"/>
          <w:lang w:bidi="ar"/>
        </w:rPr>
        <w:t>，</w:t>
      </w:r>
      <w:r>
        <w:rPr>
          <w:rFonts w:hint="eastAsia" w:hAnsi="仿宋_GB2312" w:cs="仿宋_GB2312"/>
          <w:snapToGrid w:val="0"/>
          <w:spacing w:val="0"/>
          <w:kern w:val="0"/>
          <w:sz w:val="32"/>
          <w:szCs w:val="32"/>
        </w:rPr>
        <w:t>促进校外培训机构健康有序发展，</w:t>
      </w:r>
      <w:r>
        <w:rPr>
          <w:rFonts w:hint="eastAsia" w:hAnsi="仿宋_GB2312" w:cs="仿宋_GB2312"/>
          <w:snapToGrid w:val="0"/>
          <w:color w:val="000000"/>
          <w:spacing w:val="0"/>
          <w:kern w:val="0"/>
          <w:sz w:val="32"/>
          <w:szCs w:val="32"/>
        </w:rPr>
        <w:t>现将《济南市校外培训机构设置标准》印发给你们，请结合实际，抓好落实。</w:t>
      </w:r>
    </w:p>
    <w:p w14:paraId="20EC63E8">
      <w:pPr>
        <w:keepNext w:val="0"/>
        <w:keepLines w:val="0"/>
        <w:pageBreakBefore w:val="0"/>
        <w:widowControl w:val="0"/>
        <w:kinsoku/>
        <w:wordWrap/>
        <w:overflowPunct/>
        <w:topLinePunct w:val="0"/>
        <w:autoSpaceDE/>
        <w:autoSpaceDN/>
        <w:bidi w:val="0"/>
        <w:adjustRightInd w:val="0"/>
        <w:snapToGrid w:val="0"/>
        <w:spacing w:line="240" w:lineRule="auto"/>
        <w:ind w:firstLine="628" w:firstLineChars="200"/>
        <w:jc w:val="left"/>
        <w:textAlignment w:val="auto"/>
        <w:rPr>
          <w:rFonts w:hint="eastAsia" w:ascii="仿宋_GB2312" w:hAnsi="仿宋_GB2312" w:eastAsia="仿宋_GB2312" w:cs="仿宋_GB2312"/>
          <w:sz w:val="32"/>
          <w:szCs w:val="32"/>
          <w:lang w:eastAsia="zh-CN"/>
        </w:rPr>
      </w:pPr>
    </w:p>
    <w:p w14:paraId="57FD30D4">
      <w:pPr>
        <w:adjustRightInd w:val="0"/>
        <w:snapToGrid w:val="0"/>
        <w:spacing w:line="560" w:lineRule="exact"/>
        <w:ind w:firstLine="1567" w:firstLineChars="499"/>
        <w:rPr>
          <w:rFonts w:hint="eastAsia" w:ascii="仿宋_GB2312" w:hAnsi="新宋体" w:eastAsia="仿宋_GB2312" w:cs="Arial"/>
          <w:color w:val="000000"/>
          <w:lang w:eastAsia="zh-CN"/>
        </w:rPr>
      </w:pPr>
      <w:r>
        <w:rPr>
          <w:rFonts w:hint="eastAsia" w:ascii="仿宋_GB2312" w:hAnsi="仿宋_GB2312" w:eastAsia="仿宋_GB2312" w:cs="仿宋_GB2312"/>
          <w:sz w:val="32"/>
          <w:szCs w:val="32"/>
          <w:lang w:eastAsia="zh-CN"/>
        </w:rPr>
        <w:drawing>
          <wp:anchor distT="0" distB="0" distL="114935" distR="114935" simplePos="0" relativeHeight="251661312" behindDoc="1" locked="0" layoutInCell="1" allowOverlap="1">
            <wp:simplePos x="0" y="0"/>
            <wp:positionH relativeFrom="column">
              <wp:posOffset>2160905</wp:posOffset>
            </wp:positionH>
            <wp:positionV relativeFrom="paragraph">
              <wp:posOffset>132080</wp:posOffset>
            </wp:positionV>
            <wp:extent cx="1481455" cy="1475105"/>
            <wp:effectExtent l="0" t="0" r="4445" b="10795"/>
            <wp:wrapNone/>
            <wp:docPr id="9" name="图片 9" descr="济南市发展和改革委员会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济南市发展和改革委员会红"/>
                    <pic:cNvPicPr>
                      <a:picLocks noChangeAspect="1"/>
                    </pic:cNvPicPr>
                  </pic:nvPicPr>
                  <pic:blipFill>
                    <a:blip r:embed="rId8"/>
                    <a:stretch>
                      <a:fillRect/>
                    </a:stretch>
                  </pic:blipFill>
                  <pic:spPr>
                    <a:xfrm>
                      <a:off x="0" y="0"/>
                      <a:ext cx="1481455" cy="1475105"/>
                    </a:xfrm>
                    <a:prstGeom prst="rect">
                      <a:avLst/>
                    </a:prstGeom>
                  </pic:spPr>
                </pic:pic>
              </a:graphicData>
            </a:graphic>
          </wp:anchor>
        </w:drawing>
      </w:r>
      <w:r>
        <w:rPr>
          <w:sz w:val="32"/>
        </w:rPr>
        <w:drawing>
          <wp:anchor distT="0" distB="0" distL="114300" distR="114300" simplePos="0" relativeHeight="251663360" behindDoc="1" locked="0" layoutInCell="1" allowOverlap="1">
            <wp:simplePos x="0" y="0"/>
            <wp:positionH relativeFrom="column">
              <wp:posOffset>3904615</wp:posOffset>
            </wp:positionH>
            <wp:positionV relativeFrom="paragraph">
              <wp:posOffset>70485</wp:posOffset>
            </wp:positionV>
            <wp:extent cx="1633855" cy="1597025"/>
            <wp:effectExtent l="0" t="0" r="4445" b="3175"/>
            <wp:wrapNone/>
            <wp:docPr id="1" name="图片 1" descr="济南市公安局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济南市公安局红"/>
                    <pic:cNvPicPr>
                      <a:picLocks noChangeAspect="1"/>
                    </pic:cNvPicPr>
                  </pic:nvPicPr>
                  <pic:blipFill>
                    <a:blip r:embed="rId9"/>
                    <a:stretch>
                      <a:fillRect/>
                    </a:stretch>
                  </pic:blipFill>
                  <pic:spPr>
                    <a:xfrm>
                      <a:off x="3114675" y="2345055"/>
                      <a:ext cx="1633855" cy="1597025"/>
                    </a:xfrm>
                    <a:prstGeom prst="rect">
                      <a:avLst/>
                    </a:prstGeom>
                  </pic:spPr>
                </pic:pic>
              </a:graphicData>
            </a:graphic>
          </wp:anchor>
        </w:drawing>
      </w:r>
      <w:r>
        <w:rPr>
          <w:sz w:val="32"/>
        </w:rPr>
        <w:drawing>
          <wp:anchor distT="0" distB="0" distL="114300" distR="114300" simplePos="0" relativeHeight="251661312" behindDoc="1" locked="0" layoutInCell="1" allowOverlap="1">
            <wp:simplePos x="0" y="0"/>
            <wp:positionH relativeFrom="column">
              <wp:posOffset>270510</wp:posOffset>
            </wp:positionH>
            <wp:positionV relativeFrom="paragraph">
              <wp:posOffset>107950</wp:posOffset>
            </wp:positionV>
            <wp:extent cx="1471930" cy="1481455"/>
            <wp:effectExtent l="0" t="0" r="13970" b="4445"/>
            <wp:wrapNone/>
            <wp:docPr id="36" name="图片 36" descr="济南市教育局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济南市教育局红"/>
                    <pic:cNvPicPr>
                      <a:picLocks noChangeAspect="1"/>
                    </pic:cNvPicPr>
                  </pic:nvPicPr>
                  <pic:blipFill>
                    <a:blip r:embed="rId10"/>
                    <a:stretch>
                      <a:fillRect/>
                    </a:stretch>
                  </pic:blipFill>
                  <pic:spPr>
                    <a:xfrm>
                      <a:off x="1350010" y="2440305"/>
                      <a:ext cx="1471930" cy="1481455"/>
                    </a:xfrm>
                    <a:prstGeom prst="rect">
                      <a:avLst/>
                    </a:prstGeom>
                  </pic:spPr>
                </pic:pic>
              </a:graphicData>
            </a:graphic>
          </wp:anchor>
        </w:drawing>
      </w:r>
    </w:p>
    <w:p w14:paraId="5C3BF74B">
      <w:pPr>
        <w:adjustRightInd w:val="0"/>
        <w:snapToGrid w:val="0"/>
        <w:spacing w:line="560" w:lineRule="exact"/>
        <w:ind w:firstLine="1567" w:firstLineChars="499"/>
        <w:rPr>
          <w:rFonts w:hint="eastAsia" w:ascii="仿宋_GB2312" w:hAnsi="新宋体" w:cs="Arial"/>
          <w:color w:val="000000"/>
        </w:rPr>
      </w:pPr>
    </w:p>
    <w:tbl>
      <w:tblPr>
        <w:tblStyle w:val="15"/>
        <w:tblW w:w="8504" w:type="dxa"/>
        <w:jc w:val="center"/>
        <w:tblLayout w:type="fixed"/>
        <w:tblCellMar>
          <w:top w:w="0" w:type="dxa"/>
          <w:left w:w="0" w:type="dxa"/>
          <w:bottom w:w="0" w:type="dxa"/>
          <w:right w:w="0" w:type="dxa"/>
        </w:tblCellMar>
      </w:tblPr>
      <w:tblGrid>
        <w:gridCol w:w="2834"/>
        <w:gridCol w:w="3050"/>
        <w:gridCol w:w="2620"/>
      </w:tblGrid>
      <w:tr w14:paraId="1097C84B">
        <w:tblPrEx>
          <w:tblCellMar>
            <w:top w:w="0" w:type="dxa"/>
            <w:left w:w="0" w:type="dxa"/>
            <w:bottom w:w="0" w:type="dxa"/>
            <w:right w:w="0" w:type="dxa"/>
          </w:tblCellMar>
        </w:tblPrEx>
        <w:trPr>
          <w:jc w:val="center"/>
        </w:trPr>
        <w:tc>
          <w:tcPr>
            <w:tcW w:w="2948" w:type="dxa"/>
            <w:noWrap w:val="0"/>
            <w:vAlign w:val="center"/>
          </w:tcPr>
          <w:p w14:paraId="0A89D67E">
            <w:pPr>
              <w:adjustRightInd w:val="0"/>
              <w:snapToGrid w:val="0"/>
              <w:jc w:val="center"/>
              <w:rPr>
                <w:rFonts w:ascii="仿宋_GB2312" w:hAnsi="新宋体" w:cs="Arial"/>
                <w:color w:val="000000"/>
              </w:rPr>
            </w:pPr>
            <w:r>
              <w:rPr>
                <w:rFonts w:hint="eastAsia" w:ascii="仿宋_GB2312" w:hAnsi="新宋体" w:cs="Arial"/>
                <w:color w:val="000000"/>
              </w:rPr>
              <w:t>济南市教育局</w:t>
            </w:r>
          </w:p>
        </w:tc>
        <w:tc>
          <w:tcPr>
            <w:tcW w:w="3172" w:type="dxa"/>
            <w:noWrap w:val="0"/>
            <w:vAlign w:val="center"/>
          </w:tcPr>
          <w:p w14:paraId="49128517">
            <w:pPr>
              <w:adjustRightInd w:val="0"/>
              <w:snapToGrid w:val="0"/>
              <w:jc w:val="center"/>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济南市</w:t>
            </w:r>
            <w:r>
              <w:rPr>
                <w:rFonts w:hint="eastAsia" w:ascii="仿宋_GB2312" w:hAnsi="仿宋_GB2312" w:cs="仿宋_GB2312"/>
                <w:sz w:val="32"/>
                <w:szCs w:val="32"/>
                <w:lang w:eastAsia="zh-CN"/>
              </w:rPr>
              <w:t>发展和改革</w:t>
            </w:r>
          </w:p>
          <w:p w14:paraId="3E428526">
            <w:pPr>
              <w:adjustRightInd w:val="0"/>
              <w:snapToGrid w:val="0"/>
              <w:jc w:val="center"/>
              <w:rPr>
                <w:rFonts w:hint="eastAsia" w:ascii="仿宋_GB2312" w:hAnsi="新宋体" w:eastAsia="仿宋_GB2312" w:cs="Arial"/>
                <w:color w:val="000000"/>
                <w:lang w:eastAsia="zh-CN"/>
              </w:rPr>
            </w:pPr>
            <w:r>
              <w:rPr>
                <w:rFonts w:hint="eastAsia" w:ascii="仿宋_GB2312" w:hAnsi="仿宋_GB2312" w:cs="仿宋_GB2312"/>
                <w:sz w:val="32"/>
                <w:szCs w:val="32"/>
                <w:lang w:eastAsia="zh-CN"/>
              </w:rPr>
              <w:t>委员会</w:t>
            </w:r>
          </w:p>
        </w:tc>
        <w:tc>
          <w:tcPr>
            <w:tcW w:w="2725" w:type="dxa"/>
            <w:noWrap w:val="0"/>
            <w:vAlign w:val="center"/>
          </w:tcPr>
          <w:p w14:paraId="025831C3">
            <w:pPr>
              <w:adjustRightInd w:val="0"/>
              <w:snapToGrid w:val="0"/>
              <w:jc w:val="center"/>
              <w:rPr>
                <w:rFonts w:ascii="仿宋_GB2312" w:hAnsi="新宋体" w:cs="Arial"/>
                <w:color w:val="000000"/>
              </w:rPr>
            </w:pPr>
            <w:r>
              <w:rPr>
                <w:rFonts w:hint="eastAsia" w:ascii="仿宋_GB2312" w:hAnsi="仿宋_GB2312" w:eastAsia="仿宋_GB2312" w:cs="仿宋_GB2312"/>
                <w:sz w:val="32"/>
                <w:szCs w:val="32"/>
              </w:rPr>
              <w:t>济南市</w:t>
            </w:r>
            <w:r>
              <w:rPr>
                <w:rFonts w:hint="eastAsia" w:ascii="仿宋_GB2312" w:hAnsi="仿宋_GB2312" w:cs="仿宋_GB2312"/>
                <w:sz w:val="32"/>
                <w:szCs w:val="32"/>
                <w:lang w:eastAsia="zh-CN"/>
              </w:rPr>
              <w:t>公安</w:t>
            </w:r>
            <w:r>
              <w:rPr>
                <w:rFonts w:hint="eastAsia" w:ascii="仿宋_GB2312" w:hAnsi="仿宋_GB2312" w:eastAsia="仿宋_GB2312" w:cs="仿宋_GB2312"/>
                <w:sz w:val="32"/>
                <w:szCs w:val="32"/>
              </w:rPr>
              <w:t>局</w:t>
            </w:r>
          </w:p>
        </w:tc>
      </w:tr>
    </w:tbl>
    <w:p w14:paraId="6FA65F13">
      <w:pPr>
        <w:adjustRightInd w:val="0"/>
        <w:snapToGrid w:val="0"/>
        <w:ind w:firstLine="1567" w:firstLineChars="499"/>
        <w:rPr>
          <w:rFonts w:hint="eastAsia"/>
          <w:color w:val="000000"/>
          <w:spacing w:val="-8"/>
          <w:sz w:val="21"/>
          <w:szCs w:val="21"/>
        </w:rPr>
      </w:pPr>
      <w:r>
        <w:rPr>
          <w:rFonts w:ascii="仿宋_GB2312" w:hAnsi="新宋体" w:cs="Arial"/>
          <w:color w:val="000000"/>
        </w:rPr>
        <w:tab/>
      </w:r>
      <w:r>
        <w:rPr>
          <w:rFonts w:ascii="仿宋_GB2312" w:hAnsi="新宋体" w:cs="Arial"/>
          <w:color w:val="000000"/>
        </w:rPr>
        <w:tab/>
      </w:r>
    </w:p>
    <w:p w14:paraId="20E0FB1E">
      <w:pPr>
        <w:adjustRightInd w:val="0"/>
        <w:snapToGrid w:val="0"/>
        <w:ind w:firstLine="939" w:firstLineChars="499"/>
        <w:rPr>
          <w:rFonts w:hint="eastAsia"/>
          <w:color w:val="000000"/>
          <w:spacing w:val="-8"/>
          <w:sz w:val="21"/>
          <w:szCs w:val="21"/>
        </w:rPr>
      </w:pPr>
    </w:p>
    <w:p w14:paraId="56D4C20F">
      <w:pPr>
        <w:tabs>
          <w:tab w:val="left" w:pos="2948"/>
          <w:tab w:val="left" w:pos="6120"/>
        </w:tabs>
        <w:adjustRightInd w:val="0"/>
        <w:snapToGrid w:val="0"/>
        <w:jc w:val="left"/>
        <w:rPr>
          <w:rFonts w:hint="eastAsia" w:ascii="仿宋_GB2312" w:hAnsi="新宋体" w:cs="Arial"/>
          <w:color w:val="000000"/>
        </w:rPr>
      </w:pPr>
    </w:p>
    <w:p w14:paraId="399856C7">
      <w:pPr>
        <w:tabs>
          <w:tab w:val="left" w:pos="2948"/>
          <w:tab w:val="left" w:pos="6120"/>
        </w:tabs>
        <w:adjustRightInd w:val="0"/>
        <w:snapToGrid w:val="0"/>
        <w:jc w:val="left"/>
        <w:rPr>
          <w:rFonts w:hint="eastAsia" w:ascii="仿宋_GB2312" w:hAnsi="新宋体" w:eastAsia="仿宋_GB2312" w:cs="Arial"/>
          <w:color w:val="000000"/>
          <w:lang w:eastAsia="zh-CN"/>
        </w:rPr>
      </w:pPr>
      <w:r>
        <w:rPr>
          <w:rFonts w:hint="eastAsia" w:ascii="仿宋_GB2312" w:hAnsi="新宋体" w:eastAsia="仿宋_GB2312" w:cs="Arial"/>
          <w:color w:val="000000"/>
          <w:lang w:eastAsia="zh-CN"/>
        </w:rPr>
        <w:drawing>
          <wp:anchor distT="0" distB="0" distL="114300" distR="114300" simplePos="0" relativeHeight="251663360" behindDoc="1" locked="0" layoutInCell="1" allowOverlap="1">
            <wp:simplePos x="0" y="0"/>
            <wp:positionH relativeFrom="column">
              <wp:posOffset>3976370</wp:posOffset>
            </wp:positionH>
            <wp:positionV relativeFrom="paragraph">
              <wp:posOffset>45720</wp:posOffset>
            </wp:positionV>
            <wp:extent cx="1481455" cy="1469390"/>
            <wp:effectExtent l="0" t="0" r="4445" b="16510"/>
            <wp:wrapNone/>
            <wp:docPr id="12" name="图片 12" descr="济南市文化和旅游局 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济南市文化和旅游局 红"/>
                    <pic:cNvPicPr>
                      <a:picLocks noChangeAspect="1"/>
                    </pic:cNvPicPr>
                  </pic:nvPicPr>
                  <pic:blipFill>
                    <a:blip r:embed="rId11"/>
                    <a:stretch>
                      <a:fillRect/>
                    </a:stretch>
                  </pic:blipFill>
                  <pic:spPr>
                    <a:xfrm>
                      <a:off x="0" y="0"/>
                      <a:ext cx="1481455" cy="1469390"/>
                    </a:xfrm>
                    <a:prstGeom prst="rect">
                      <a:avLst/>
                    </a:prstGeom>
                  </pic:spPr>
                </pic:pic>
              </a:graphicData>
            </a:graphic>
          </wp:anchor>
        </w:drawing>
      </w:r>
      <w:r>
        <w:rPr>
          <w:sz w:val="32"/>
        </w:rPr>
        <w:drawing>
          <wp:anchor distT="0" distB="0" distL="114300" distR="114300" simplePos="0" relativeHeight="251663360" behindDoc="1" locked="0" layoutInCell="1" allowOverlap="1">
            <wp:simplePos x="0" y="0"/>
            <wp:positionH relativeFrom="column">
              <wp:posOffset>2159635</wp:posOffset>
            </wp:positionH>
            <wp:positionV relativeFrom="paragraph">
              <wp:posOffset>15875</wp:posOffset>
            </wp:positionV>
            <wp:extent cx="1496695" cy="1481455"/>
            <wp:effectExtent l="0" t="0" r="8255" b="4445"/>
            <wp:wrapNone/>
            <wp:docPr id="7" name="图片 7" descr="住房和城乡建设局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住房和城乡建设局红"/>
                    <pic:cNvPicPr>
                      <a:picLocks noChangeAspect="1"/>
                    </pic:cNvPicPr>
                  </pic:nvPicPr>
                  <pic:blipFill>
                    <a:blip r:embed="rId12"/>
                    <a:stretch>
                      <a:fillRect/>
                    </a:stretch>
                  </pic:blipFill>
                  <pic:spPr>
                    <a:xfrm>
                      <a:off x="5025390" y="4252595"/>
                      <a:ext cx="1496695" cy="1481455"/>
                    </a:xfrm>
                    <a:prstGeom prst="rect">
                      <a:avLst/>
                    </a:prstGeom>
                  </pic:spPr>
                </pic:pic>
              </a:graphicData>
            </a:graphic>
          </wp:anchor>
        </w:drawing>
      </w:r>
      <w:r>
        <w:rPr>
          <w:sz w:val="32"/>
        </w:rPr>
        <w:drawing>
          <wp:anchor distT="0" distB="0" distL="114300" distR="114300" simplePos="0" relativeHeight="251662336" behindDoc="1" locked="0" layoutInCell="1" allowOverlap="1">
            <wp:simplePos x="0" y="0"/>
            <wp:positionH relativeFrom="column">
              <wp:posOffset>309245</wp:posOffset>
            </wp:positionH>
            <wp:positionV relativeFrom="paragraph">
              <wp:posOffset>6350</wp:posOffset>
            </wp:positionV>
            <wp:extent cx="1438910" cy="1444625"/>
            <wp:effectExtent l="0" t="0" r="8890" b="3175"/>
            <wp:wrapNone/>
            <wp:docPr id="2" name="图片 2" descr="济南市民政局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济南市民政局红"/>
                    <pic:cNvPicPr>
                      <a:picLocks noChangeAspect="1"/>
                    </pic:cNvPicPr>
                  </pic:nvPicPr>
                  <pic:blipFill>
                    <a:blip r:embed="rId13"/>
                    <a:stretch>
                      <a:fillRect/>
                    </a:stretch>
                  </pic:blipFill>
                  <pic:spPr>
                    <a:xfrm>
                      <a:off x="5019675" y="2468880"/>
                      <a:ext cx="1438910" cy="1444625"/>
                    </a:xfrm>
                    <a:prstGeom prst="rect">
                      <a:avLst/>
                    </a:prstGeom>
                  </pic:spPr>
                </pic:pic>
              </a:graphicData>
            </a:graphic>
          </wp:anchor>
        </w:drawing>
      </w:r>
    </w:p>
    <w:p w14:paraId="07AC197D">
      <w:pPr>
        <w:tabs>
          <w:tab w:val="left" w:pos="2948"/>
          <w:tab w:val="left" w:pos="6120"/>
        </w:tabs>
        <w:adjustRightInd w:val="0"/>
        <w:snapToGrid w:val="0"/>
        <w:jc w:val="left"/>
        <w:rPr>
          <w:rFonts w:hint="eastAsia" w:ascii="仿宋_GB2312" w:hAnsi="新宋体" w:eastAsia="仿宋_GB2312" w:cs="Arial"/>
          <w:color w:val="000000"/>
          <w:lang w:eastAsia="zh-CN"/>
        </w:rPr>
      </w:pPr>
    </w:p>
    <w:tbl>
      <w:tblPr>
        <w:tblStyle w:val="15"/>
        <w:tblW w:w="8504" w:type="dxa"/>
        <w:jc w:val="center"/>
        <w:tblLayout w:type="fixed"/>
        <w:tblCellMar>
          <w:top w:w="0" w:type="dxa"/>
          <w:left w:w="0" w:type="dxa"/>
          <w:bottom w:w="0" w:type="dxa"/>
          <w:right w:w="0" w:type="dxa"/>
        </w:tblCellMar>
      </w:tblPr>
      <w:tblGrid>
        <w:gridCol w:w="2834"/>
        <w:gridCol w:w="3050"/>
        <w:gridCol w:w="2620"/>
      </w:tblGrid>
      <w:tr w14:paraId="03D37BBC">
        <w:tblPrEx>
          <w:tblCellMar>
            <w:top w:w="0" w:type="dxa"/>
            <w:left w:w="0" w:type="dxa"/>
            <w:bottom w:w="0" w:type="dxa"/>
            <w:right w:w="0" w:type="dxa"/>
          </w:tblCellMar>
        </w:tblPrEx>
        <w:trPr>
          <w:jc w:val="center"/>
        </w:trPr>
        <w:tc>
          <w:tcPr>
            <w:tcW w:w="2948" w:type="dxa"/>
            <w:noWrap w:val="0"/>
            <w:vAlign w:val="center"/>
          </w:tcPr>
          <w:p w14:paraId="29267186">
            <w:pPr>
              <w:adjustRightInd w:val="0"/>
              <w:snapToGrid w:val="0"/>
              <w:jc w:val="center"/>
              <w:rPr>
                <w:rFonts w:ascii="仿宋_GB2312" w:hAnsi="新宋体" w:cs="Arial"/>
                <w:color w:val="000000"/>
              </w:rPr>
            </w:pPr>
            <w:r>
              <w:rPr>
                <w:rFonts w:hint="eastAsia" w:ascii="仿宋_GB2312" w:hAnsi="仿宋_GB2312" w:eastAsia="仿宋_GB2312" w:cs="仿宋_GB2312"/>
                <w:sz w:val="32"/>
                <w:szCs w:val="32"/>
              </w:rPr>
              <w:t>济南市</w:t>
            </w:r>
            <w:r>
              <w:rPr>
                <w:rFonts w:hint="eastAsia" w:ascii="仿宋_GB2312" w:hAnsi="仿宋_GB2312" w:cs="仿宋_GB2312"/>
                <w:sz w:val="32"/>
                <w:szCs w:val="32"/>
                <w:lang w:eastAsia="zh-CN"/>
              </w:rPr>
              <w:t>民政</w:t>
            </w:r>
            <w:r>
              <w:rPr>
                <w:rFonts w:hint="eastAsia" w:ascii="仿宋_GB2312" w:hAnsi="仿宋_GB2312" w:eastAsia="仿宋_GB2312" w:cs="仿宋_GB2312"/>
                <w:sz w:val="32"/>
                <w:szCs w:val="32"/>
              </w:rPr>
              <w:t>局</w:t>
            </w:r>
          </w:p>
        </w:tc>
        <w:tc>
          <w:tcPr>
            <w:tcW w:w="3172" w:type="dxa"/>
            <w:noWrap w:val="0"/>
            <w:vAlign w:val="center"/>
          </w:tcPr>
          <w:p w14:paraId="731E0C2B">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济南市住房和</w:t>
            </w:r>
          </w:p>
          <w:p w14:paraId="72A7CCA1">
            <w:pPr>
              <w:adjustRightInd w:val="0"/>
              <w:snapToGrid w:val="0"/>
              <w:jc w:val="center"/>
              <w:rPr>
                <w:rFonts w:ascii="仿宋_GB2312" w:hAnsi="新宋体" w:cs="Arial"/>
                <w:color w:val="000000"/>
              </w:rPr>
            </w:pPr>
            <w:r>
              <w:rPr>
                <w:rFonts w:hint="eastAsia" w:ascii="仿宋_GB2312" w:hAnsi="仿宋_GB2312" w:eastAsia="仿宋_GB2312" w:cs="仿宋_GB2312"/>
                <w:sz w:val="32"/>
                <w:szCs w:val="32"/>
              </w:rPr>
              <w:t>城乡建设局</w:t>
            </w:r>
          </w:p>
        </w:tc>
        <w:tc>
          <w:tcPr>
            <w:tcW w:w="2725" w:type="dxa"/>
            <w:noWrap w:val="0"/>
            <w:vAlign w:val="center"/>
          </w:tcPr>
          <w:p w14:paraId="55E75EF5">
            <w:pPr>
              <w:adjustRightInd w:val="0"/>
              <w:snapToGrid w:val="0"/>
              <w:jc w:val="center"/>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济南市</w:t>
            </w:r>
            <w:r>
              <w:rPr>
                <w:rFonts w:hint="eastAsia" w:ascii="仿宋_GB2312" w:hAnsi="仿宋_GB2312" w:cs="仿宋_GB2312"/>
                <w:sz w:val="32"/>
                <w:szCs w:val="32"/>
                <w:lang w:eastAsia="zh-CN"/>
              </w:rPr>
              <w:t>文化和</w:t>
            </w:r>
          </w:p>
          <w:p w14:paraId="6AF4C116">
            <w:pPr>
              <w:adjustRightInd w:val="0"/>
              <w:snapToGrid w:val="0"/>
              <w:jc w:val="center"/>
              <w:rPr>
                <w:rFonts w:ascii="仿宋_GB2312" w:hAnsi="新宋体" w:cs="Arial"/>
                <w:color w:val="000000"/>
              </w:rPr>
            </w:pPr>
            <w:r>
              <w:rPr>
                <w:rFonts w:hint="eastAsia" w:ascii="仿宋_GB2312" w:hAnsi="仿宋_GB2312" w:cs="仿宋_GB2312"/>
                <w:sz w:val="32"/>
                <w:szCs w:val="32"/>
                <w:lang w:eastAsia="zh-CN"/>
              </w:rPr>
              <w:t>旅游</w:t>
            </w:r>
            <w:r>
              <w:rPr>
                <w:rFonts w:hint="eastAsia" w:ascii="仿宋_GB2312" w:hAnsi="仿宋_GB2312" w:eastAsia="仿宋_GB2312" w:cs="仿宋_GB2312"/>
                <w:sz w:val="32"/>
                <w:szCs w:val="32"/>
              </w:rPr>
              <w:t>局</w:t>
            </w:r>
          </w:p>
        </w:tc>
      </w:tr>
    </w:tbl>
    <w:p w14:paraId="46927C55">
      <w:pPr>
        <w:tabs>
          <w:tab w:val="left" w:pos="2948"/>
          <w:tab w:val="left" w:pos="6120"/>
        </w:tabs>
        <w:adjustRightInd w:val="0"/>
        <w:snapToGrid w:val="0"/>
        <w:jc w:val="left"/>
        <w:rPr>
          <w:rFonts w:hint="eastAsia" w:ascii="仿宋_GB2312" w:hAnsi="新宋体" w:cs="Arial"/>
          <w:color w:val="000000"/>
        </w:rPr>
      </w:pPr>
    </w:p>
    <w:p w14:paraId="31D8FD67">
      <w:pPr>
        <w:tabs>
          <w:tab w:val="left" w:pos="2948"/>
          <w:tab w:val="left" w:pos="6120"/>
        </w:tabs>
        <w:adjustRightInd w:val="0"/>
        <w:snapToGrid w:val="0"/>
        <w:jc w:val="left"/>
        <w:rPr>
          <w:rFonts w:hint="eastAsia" w:ascii="仿宋_GB2312" w:hAnsi="新宋体" w:cs="Arial"/>
          <w:color w:val="000000"/>
        </w:rPr>
      </w:pPr>
    </w:p>
    <w:p w14:paraId="41CEA3F2">
      <w:pPr>
        <w:tabs>
          <w:tab w:val="left" w:pos="2948"/>
          <w:tab w:val="left" w:pos="6120"/>
        </w:tabs>
        <w:adjustRightInd w:val="0"/>
        <w:snapToGrid w:val="0"/>
        <w:jc w:val="left"/>
        <w:rPr>
          <w:rFonts w:hint="eastAsia" w:ascii="仿宋_GB2312" w:hAnsi="新宋体" w:cs="Arial"/>
          <w:color w:val="000000"/>
        </w:rPr>
      </w:pPr>
      <w:r>
        <w:rPr>
          <w:rFonts w:hint="eastAsia" w:ascii="仿宋_GB2312" w:hAnsi="新宋体" w:eastAsia="仿宋_GB2312" w:cs="Arial"/>
          <w:color w:val="000000"/>
          <w:lang w:eastAsia="zh-CN"/>
        </w:rPr>
        <w:drawing>
          <wp:anchor distT="0" distB="0" distL="114935" distR="114935" simplePos="0" relativeHeight="251663360" behindDoc="1" locked="0" layoutInCell="1" allowOverlap="1">
            <wp:simplePos x="0" y="0"/>
            <wp:positionH relativeFrom="column">
              <wp:posOffset>3989705</wp:posOffset>
            </wp:positionH>
            <wp:positionV relativeFrom="paragraph">
              <wp:posOffset>160655</wp:posOffset>
            </wp:positionV>
            <wp:extent cx="1475105" cy="1475105"/>
            <wp:effectExtent l="0" t="0" r="10795" b="10795"/>
            <wp:wrapNone/>
            <wp:docPr id="15" name="图片 15" descr="济南市消防救援支队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济南市消防救援支队红"/>
                    <pic:cNvPicPr>
                      <a:picLocks noChangeAspect="1"/>
                    </pic:cNvPicPr>
                  </pic:nvPicPr>
                  <pic:blipFill>
                    <a:blip r:embed="rId14"/>
                    <a:stretch>
                      <a:fillRect/>
                    </a:stretch>
                  </pic:blipFill>
                  <pic:spPr>
                    <a:xfrm>
                      <a:off x="0" y="0"/>
                      <a:ext cx="1475105" cy="1475105"/>
                    </a:xfrm>
                    <a:prstGeom prst="rect">
                      <a:avLst/>
                    </a:prstGeom>
                  </pic:spPr>
                </pic:pic>
              </a:graphicData>
            </a:graphic>
          </wp:anchor>
        </w:drawing>
      </w:r>
      <w:r>
        <w:rPr>
          <w:rFonts w:hint="eastAsia" w:ascii="仿宋_GB2312" w:hAnsi="新宋体" w:eastAsia="仿宋_GB2312" w:cs="Arial"/>
          <w:color w:val="000000"/>
          <w:lang w:eastAsia="zh-CN"/>
        </w:rPr>
        <w:drawing>
          <wp:anchor distT="0" distB="0" distL="114935" distR="114935" simplePos="0" relativeHeight="251663360" behindDoc="1" locked="0" layoutInCell="1" allowOverlap="1">
            <wp:simplePos x="0" y="0"/>
            <wp:positionH relativeFrom="column">
              <wp:posOffset>2105660</wp:posOffset>
            </wp:positionH>
            <wp:positionV relativeFrom="paragraph">
              <wp:posOffset>96520</wp:posOffset>
            </wp:positionV>
            <wp:extent cx="1609090" cy="1563370"/>
            <wp:effectExtent l="0" t="0" r="10160" b="17780"/>
            <wp:wrapNone/>
            <wp:docPr id="14" name="图片 14" descr="济南市行政审批服务局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济南市行政审批服务局红"/>
                    <pic:cNvPicPr>
                      <a:picLocks noChangeAspect="1"/>
                    </pic:cNvPicPr>
                  </pic:nvPicPr>
                  <pic:blipFill>
                    <a:blip r:embed="rId15"/>
                    <a:stretch>
                      <a:fillRect/>
                    </a:stretch>
                  </pic:blipFill>
                  <pic:spPr>
                    <a:xfrm>
                      <a:off x="0" y="0"/>
                      <a:ext cx="1609090" cy="1563370"/>
                    </a:xfrm>
                    <a:prstGeom prst="rect">
                      <a:avLst/>
                    </a:prstGeom>
                  </pic:spPr>
                </pic:pic>
              </a:graphicData>
            </a:graphic>
          </wp:anchor>
        </w:drawing>
      </w:r>
      <w:r>
        <w:rPr>
          <w:rFonts w:hint="eastAsia" w:ascii="仿宋_GB2312" w:hAnsi="新宋体" w:eastAsia="仿宋_GB2312" w:cs="Arial"/>
          <w:color w:val="000000"/>
          <w:lang w:eastAsia="zh-CN"/>
        </w:rPr>
        <w:drawing>
          <wp:anchor distT="0" distB="0" distL="114935" distR="114935" simplePos="0" relativeHeight="251663360" behindDoc="1" locked="0" layoutInCell="1" allowOverlap="1">
            <wp:simplePos x="0" y="0"/>
            <wp:positionH relativeFrom="column">
              <wp:posOffset>262890</wp:posOffset>
            </wp:positionH>
            <wp:positionV relativeFrom="paragraph">
              <wp:posOffset>103505</wp:posOffset>
            </wp:positionV>
            <wp:extent cx="1554480" cy="1542415"/>
            <wp:effectExtent l="0" t="0" r="7620" b="635"/>
            <wp:wrapNone/>
            <wp:docPr id="13" name="图片 13" descr="济南市体育局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济南市体育局红"/>
                    <pic:cNvPicPr>
                      <a:picLocks noChangeAspect="1"/>
                    </pic:cNvPicPr>
                  </pic:nvPicPr>
                  <pic:blipFill>
                    <a:blip r:embed="rId16"/>
                    <a:stretch>
                      <a:fillRect/>
                    </a:stretch>
                  </pic:blipFill>
                  <pic:spPr>
                    <a:xfrm>
                      <a:off x="0" y="0"/>
                      <a:ext cx="1554480" cy="1542415"/>
                    </a:xfrm>
                    <a:prstGeom prst="rect">
                      <a:avLst/>
                    </a:prstGeom>
                  </pic:spPr>
                </pic:pic>
              </a:graphicData>
            </a:graphic>
          </wp:anchor>
        </w:drawing>
      </w:r>
    </w:p>
    <w:p w14:paraId="43A1F339">
      <w:pPr>
        <w:tabs>
          <w:tab w:val="left" w:pos="2948"/>
          <w:tab w:val="left" w:pos="6120"/>
        </w:tabs>
        <w:adjustRightInd w:val="0"/>
        <w:snapToGrid w:val="0"/>
        <w:jc w:val="left"/>
        <w:rPr>
          <w:rFonts w:hint="eastAsia" w:ascii="仿宋_GB2312" w:hAnsi="新宋体" w:eastAsia="仿宋_GB2312" w:cs="Arial"/>
          <w:color w:val="000000"/>
          <w:lang w:eastAsia="zh-CN"/>
        </w:rPr>
      </w:pPr>
    </w:p>
    <w:p w14:paraId="396F5F0B">
      <w:pPr>
        <w:tabs>
          <w:tab w:val="left" w:pos="2948"/>
          <w:tab w:val="left" w:pos="6120"/>
        </w:tabs>
        <w:adjustRightInd w:val="0"/>
        <w:snapToGrid w:val="0"/>
        <w:jc w:val="left"/>
        <w:rPr>
          <w:rFonts w:hint="eastAsia" w:ascii="仿宋_GB2312" w:hAnsi="新宋体" w:eastAsia="仿宋_GB2312" w:cs="Arial"/>
          <w:color w:val="000000"/>
          <w:lang w:eastAsia="zh-CN"/>
        </w:rPr>
      </w:pPr>
    </w:p>
    <w:tbl>
      <w:tblPr>
        <w:tblStyle w:val="15"/>
        <w:tblW w:w="8504" w:type="dxa"/>
        <w:jc w:val="center"/>
        <w:tblLayout w:type="fixed"/>
        <w:tblCellMar>
          <w:top w:w="0" w:type="dxa"/>
          <w:left w:w="0" w:type="dxa"/>
          <w:bottom w:w="0" w:type="dxa"/>
          <w:right w:w="0" w:type="dxa"/>
        </w:tblCellMar>
      </w:tblPr>
      <w:tblGrid>
        <w:gridCol w:w="2834"/>
        <w:gridCol w:w="3050"/>
        <w:gridCol w:w="2620"/>
      </w:tblGrid>
      <w:tr w14:paraId="4A4BFAEF">
        <w:tblPrEx>
          <w:tblCellMar>
            <w:top w:w="0" w:type="dxa"/>
            <w:left w:w="0" w:type="dxa"/>
            <w:bottom w:w="0" w:type="dxa"/>
            <w:right w:w="0" w:type="dxa"/>
          </w:tblCellMar>
        </w:tblPrEx>
        <w:trPr>
          <w:jc w:val="center"/>
        </w:trPr>
        <w:tc>
          <w:tcPr>
            <w:tcW w:w="2948" w:type="dxa"/>
            <w:noWrap w:val="0"/>
            <w:vAlign w:val="center"/>
          </w:tcPr>
          <w:p w14:paraId="2706F4F4">
            <w:pPr>
              <w:adjustRightInd w:val="0"/>
              <w:snapToGrid w:val="0"/>
              <w:jc w:val="center"/>
              <w:rPr>
                <w:rFonts w:hint="eastAsia" w:ascii="仿宋_GB2312" w:hAnsi="新宋体" w:eastAsia="仿宋_GB2312" w:cs="Arial"/>
                <w:color w:val="000000"/>
                <w:lang w:eastAsia="zh-CN"/>
              </w:rPr>
            </w:pPr>
            <w:r>
              <w:rPr>
                <w:rFonts w:hint="eastAsia" w:ascii="仿宋_GB2312" w:hAnsi="仿宋_GB2312" w:eastAsia="仿宋_GB2312" w:cs="仿宋_GB2312"/>
                <w:sz w:val="32"/>
                <w:szCs w:val="32"/>
              </w:rPr>
              <w:t>济南市</w:t>
            </w:r>
            <w:r>
              <w:rPr>
                <w:rFonts w:hint="eastAsia" w:ascii="仿宋_GB2312" w:hAnsi="仿宋_GB2312" w:cs="仿宋_GB2312"/>
                <w:sz w:val="32"/>
                <w:szCs w:val="32"/>
                <w:lang w:eastAsia="zh-CN"/>
              </w:rPr>
              <w:t>体育局</w:t>
            </w:r>
          </w:p>
        </w:tc>
        <w:tc>
          <w:tcPr>
            <w:tcW w:w="3172" w:type="dxa"/>
            <w:noWrap w:val="0"/>
            <w:vAlign w:val="center"/>
          </w:tcPr>
          <w:p w14:paraId="273CA3D1">
            <w:pPr>
              <w:adjustRightInd w:val="0"/>
              <w:snapToGrid w:val="0"/>
              <w:jc w:val="center"/>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济南市</w:t>
            </w:r>
            <w:r>
              <w:rPr>
                <w:rFonts w:hint="eastAsia" w:ascii="仿宋_GB2312" w:hAnsi="仿宋_GB2312" w:cs="仿宋_GB2312"/>
                <w:sz w:val="32"/>
                <w:szCs w:val="32"/>
                <w:lang w:eastAsia="zh-CN"/>
              </w:rPr>
              <w:t>行政审批</w:t>
            </w:r>
          </w:p>
          <w:p w14:paraId="5339551F">
            <w:pPr>
              <w:adjustRightInd w:val="0"/>
              <w:snapToGrid w:val="0"/>
              <w:jc w:val="center"/>
              <w:rPr>
                <w:rFonts w:ascii="仿宋_GB2312" w:hAnsi="新宋体" w:cs="Arial"/>
                <w:color w:val="000000"/>
              </w:rPr>
            </w:pPr>
            <w:r>
              <w:rPr>
                <w:rFonts w:hint="eastAsia" w:ascii="仿宋_GB2312" w:hAnsi="仿宋_GB2312" w:cs="仿宋_GB2312"/>
                <w:sz w:val="32"/>
                <w:szCs w:val="32"/>
                <w:lang w:eastAsia="zh-CN"/>
              </w:rPr>
              <w:t>服务</w:t>
            </w:r>
            <w:r>
              <w:rPr>
                <w:rFonts w:hint="eastAsia" w:ascii="仿宋_GB2312" w:hAnsi="仿宋_GB2312" w:eastAsia="仿宋_GB2312" w:cs="仿宋_GB2312"/>
                <w:sz w:val="32"/>
                <w:szCs w:val="32"/>
              </w:rPr>
              <w:t>局</w:t>
            </w:r>
          </w:p>
        </w:tc>
        <w:tc>
          <w:tcPr>
            <w:tcW w:w="2725" w:type="dxa"/>
            <w:noWrap w:val="0"/>
            <w:vAlign w:val="center"/>
          </w:tcPr>
          <w:p w14:paraId="0AEB92FE">
            <w:pPr>
              <w:adjustRightInd w:val="0"/>
              <w:snapToGrid w:val="0"/>
              <w:jc w:val="center"/>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济南市</w:t>
            </w:r>
            <w:r>
              <w:rPr>
                <w:rFonts w:hint="eastAsia" w:ascii="仿宋_GB2312" w:hAnsi="仿宋_GB2312" w:cs="仿宋_GB2312"/>
                <w:sz w:val="32"/>
                <w:szCs w:val="32"/>
                <w:lang w:eastAsia="zh-CN"/>
              </w:rPr>
              <w:t>消防</w:t>
            </w:r>
          </w:p>
          <w:p w14:paraId="66916313">
            <w:pPr>
              <w:adjustRightInd w:val="0"/>
              <w:snapToGrid w:val="0"/>
              <w:jc w:val="center"/>
              <w:rPr>
                <w:rFonts w:hint="eastAsia" w:ascii="仿宋_GB2312" w:hAnsi="新宋体" w:eastAsia="仿宋_GB2312" w:cs="Arial"/>
                <w:color w:val="000000"/>
                <w:lang w:eastAsia="zh-CN"/>
              </w:rPr>
            </w:pPr>
            <w:r>
              <w:rPr>
                <w:rFonts w:hint="eastAsia" w:ascii="仿宋_GB2312" w:hAnsi="仿宋_GB2312" w:cs="仿宋_GB2312"/>
                <w:sz w:val="32"/>
                <w:szCs w:val="32"/>
                <w:lang w:eastAsia="zh-CN"/>
              </w:rPr>
              <w:t>救援支队</w:t>
            </w:r>
          </w:p>
        </w:tc>
      </w:tr>
    </w:tbl>
    <w:p w14:paraId="1EE3485C">
      <w:pPr>
        <w:tabs>
          <w:tab w:val="left" w:pos="4422"/>
        </w:tabs>
        <w:adjustRightInd w:val="0"/>
        <w:snapToGrid w:val="0"/>
        <w:ind w:firstLine="5966" w:firstLineChars="1900"/>
        <w:jc w:val="left"/>
      </w:pPr>
      <w:r>
        <w:rPr>
          <w:rFonts w:ascii="仿宋_GB2312" w:hAnsi="新宋体" w:cs="Arial"/>
          <w:color w:val="000000"/>
        </w:rPr>
        <w:t>202</w:t>
      </w:r>
      <w:r>
        <w:rPr>
          <w:rFonts w:hint="eastAsia" w:ascii="仿宋_GB2312" w:hAnsi="新宋体" w:cs="Arial"/>
          <w:color w:val="000000"/>
          <w:lang w:eastAsia="zh-CN"/>
        </w:rPr>
        <w:t>4</w:t>
      </w:r>
      <w:r>
        <w:rPr>
          <w:rFonts w:hint="eastAsia" w:ascii="仿宋_GB2312" w:hAnsi="新宋体" w:cs="Arial"/>
          <w:color w:val="000000"/>
        </w:rPr>
        <w:t>年</w:t>
      </w:r>
      <w:r>
        <w:rPr>
          <w:rFonts w:hint="eastAsia" w:ascii="仿宋_GB2312" w:hAnsi="新宋体" w:cs="Arial"/>
          <w:color w:val="000000"/>
          <w:lang w:val="en-US" w:eastAsia="zh-CN"/>
        </w:rPr>
        <w:t>11</w:t>
      </w:r>
      <w:r>
        <w:rPr>
          <w:rFonts w:hint="eastAsia" w:ascii="仿宋_GB2312" w:hAnsi="新宋体" w:cs="Arial"/>
          <w:color w:val="000000"/>
        </w:rPr>
        <w:t>月</w:t>
      </w:r>
      <w:r>
        <w:rPr>
          <w:rFonts w:hint="eastAsia" w:ascii="仿宋_GB2312" w:hAnsi="新宋体" w:cs="Arial"/>
          <w:color w:val="000000"/>
          <w:lang w:val="en-US" w:eastAsia="zh-CN"/>
        </w:rPr>
        <w:t>12</w:t>
      </w:r>
      <w:r>
        <w:rPr>
          <w:rFonts w:hint="eastAsia" w:ascii="仿宋_GB2312" w:hAnsi="新宋体" w:cs="Arial"/>
          <w:color w:val="000000"/>
        </w:rPr>
        <w:t>日</w:t>
      </w:r>
    </w:p>
    <w:bookmarkEnd w:id="0"/>
    <w:p w14:paraId="5B1B1898">
      <w:pPr>
        <w:keepNext w:val="0"/>
        <w:keepLines w:val="0"/>
        <w:pageBreakBefore w:val="0"/>
        <w:widowControl w:val="0"/>
        <w:kinsoku/>
        <w:wordWrap/>
        <w:overflowPunct/>
        <w:topLinePunct w:val="0"/>
        <w:autoSpaceDE/>
        <w:autoSpaceDN/>
        <w:bidi w:val="0"/>
        <w:adjustRightInd w:val="0"/>
        <w:snapToGrid w:val="0"/>
        <w:spacing w:line="440" w:lineRule="exact"/>
        <w:ind w:firstLine="628" w:firstLineChars="200"/>
        <w:textAlignment w:val="auto"/>
        <w:rPr>
          <w:rFonts w:hint="eastAsia" w:ascii="仿宋_GB2312" w:hAnsi="宋体" w:cs="仿宋_GB2312"/>
          <w:color w:val="auto"/>
          <w:kern w:val="0"/>
          <w:lang w:bidi="ar"/>
        </w:rPr>
      </w:pPr>
    </w:p>
    <w:p w14:paraId="755BDE5D">
      <w:pPr>
        <w:keepNext w:val="0"/>
        <w:keepLines w:val="0"/>
        <w:pageBreakBefore w:val="0"/>
        <w:widowControl w:val="0"/>
        <w:kinsoku/>
        <w:wordWrap/>
        <w:overflowPunct/>
        <w:topLinePunct w:val="0"/>
        <w:autoSpaceDE/>
        <w:autoSpaceDN/>
        <w:bidi w:val="0"/>
        <w:adjustRightInd w:val="0"/>
        <w:snapToGrid w:val="0"/>
        <w:spacing w:line="440" w:lineRule="exact"/>
        <w:ind w:firstLine="628" w:firstLineChars="200"/>
        <w:textAlignment w:val="auto"/>
        <w:rPr>
          <w:rFonts w:hint="eastAsia" w:ascii="仿宋_GB2312" w:hAnsi="宋体" w:cs="仿宋_GB2312"/>
          <w:color w:val="auto"/>
          <w:kern w:val="0"/>
          <w:lang w:bidi="ar"/>
        </w:rPr>
      </w:pPr>
      <w:r>
        <w:rPr>
          <w:rFonts w:hint="eastAsia" w:ascii="仿宋_GB2312" w:hAnsi="宋体" w:cs="仿宋_GB2312"/>
          <w:color w:val="auto"/>
          <w:kern w:val="0"/>
          <w:lang w:bidi="ar"/>
        </w:rPr>
        <w:t>（此件公开</w:t>
      </w:r>
      <w:r>
        <w:rPr>
          <w:rFonts w:hint="eastAsia" w:ascii="仿宋_GB2312" w:hAnsi="宋体" w:cs="仿宋_GB2312"/>
          <w:color w:val="auto"/>
          <w:kern w:val="0"/>
          <w:lang w:eastAsia="zh-CN" w:bidi="ar"/>
        </w:rPr>
        <w:t>发布</w:t>
      </w:r>
      <w:r>
        <w:rPr>
          <w:rFonts w:hint="eastAsia" w:ascii="仿宋_GB2312" w:hAnsi="宋体" w:cs="仿宋_GB2312"/>
          <w:color w:val="auto"/>
          <w:kern w:val="0"/>
          <w:lang w:bidi="ar"/>
        </w:rPr>
        <w:t>）</w:t>
      </w:r>
    </w:p>
    <w:p w14:paraId="1B1D6DF6">
      <w:pPr>
        <w:keepNext w:val="0"/>
        <w:keepLines w:val="0"/>
        <w:pageBreakBefore w:val="0"/>
        <w:widowControl w:val="0"/>
        <w:kinsoku/>
        <w:wordWrap/>
        <w:overflowPunct/>
        <w:topLinePunct w:val="0"/>
        <w:autoSpaceDE/>
        <w:autoSpaceDN/>
        <w:bidi w:val="0"/>
        <w:adjustRightInd w:val="0"/>
        <w:snapToGrid w:val="0"/>
        <w:spacing w:line="660" w:lineRule="exact"/>
        <w:textAlignment w:val="auto"/>
        <w:rPr>
          <w:rFonts w:hint="eastAsia" w:ascii="黑体" w:hAnsi="黑体" w:eastAsia="黑体" w:cs="方正小标宋简体"/>
        </w:rPr>
      </w:pPr>
      <w:bookmarkStart w:id="1" w:name="OLE_LINK4"/>
    </w:p>
    <w:p w14:paraId="00F9F8F5">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14:paraId="2AA84CC5">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14:paraId="736C8258">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14:paraId="5A131CEC">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14:paraId="557E9C3C">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济南市校外培训机构设置标准</w:t>
      </w:r>
    </w:p>
    <w:p w14:paraId="1E9202C0">
      <w:pPr>
        <w:keepNext w:val="0"/>
        <w:keepLines w:val="0"/>
        <w:pageBreakBefore w:val="0"/>
        <w:widowControl w:val="0"/>
        <w:kinsoku/>
        <w:wordWrap/>
        <w:overflowPunct/>
        <w:topLinePunct w:val="0"/>
        <w:autoSpaceDE/>
        <w:autoSpaceDN/>
        <w:bidi w:val="0"/>
        <w:adjustRightInd w:val="0"/>
        <w:snapToGrid w:val="0"/>
        <w:spacing w:line="580" w:lineRule="exact"/>
        <w:ind w:firstLine="608" w:firstLineChars="200"/>
        <w:textAlignment w:val="auto"/>
        <w:rPr>
          <w:rFonts w:ascii="仿宋_GB2312" w:hAnsi="宋体" w:eastAsia="仿宋_GB2312" w:cs="仿宋_GB2312"/>
          <w:snapToGrid w:val="0"/>
          <w:color w:val="000000"/>
          <w:spacing w:val="0"/>
          <w:kern w:val="0"/>
          <w:sz w:val="31"/>
          <w:szCs w:val="31"/>
        </w:rPr>
      </w:pPr>
    </w:p>
    <w:p w14:paraId="4B15A3E2">
      <w:pPr>
        <w:keepNext w:val="0"/>
        <w:keepLines w:val="0"/>
        <w:pageBreakBefore w:val="0"/>
        <w:widowControl w:val="0"/>
        <w:kinsoku/>
        <w:wordWrap/>
        <w:overflowPunct/>
        <w:topLinePunct w:val="0"/>
        <w:autoSpaceDE/>
        <w:autoSpaceDN/>
        <w:bidi w:val="0"/>
        <w:adjustRightInd w:val="0"/>
        <w:snapToGrid w:val="0"/>
        <w:spacing w:line="580" w:lineRule="exact"/>
        <w:ind w:firstLine="644" w:firstLineChars="200"/>
        <w:textAlignment w:val="auto"/>
        <w:rPr>
          <w:snapToGrid w:val="0"/>
          <w:spacing w:val="0"/>
          <w:kern w:val="0"/>
          <w:sz w:val="32"/>
          <w:szCs w:val="32"/>
        </w:rPr>
      </w:pPr>
      <w:r>
        <w:rPr>
          <w:rFonts w:ascii="仿宋_GB2312" w:hAnsi="宋体" w:eastAsia="仿宋_GB2312" w:cs="仿宋_GB2312"/>
          <w:snapToGrid w:val="0"/>
          <w:color w:val="000000"/>
          <w:spacing w:val="4"/>
          <w:kern w:val="0"/>
          <w:sz w:val="32"/>
          <w:szCs w:val="32"/>
        </w:rPr>
        <w:t>为深入贯彻落实</w:t>
      </w:r>
      <w:r>
        <w:rPr>
          <w:rFonts w:hint="eastAsia" w:ascii="仿宋_GB2312" w:hAnsi="宋体" w:eastAsia="仿宋_GB2312" w:cs="仿宋_GB2312"/>
          <w:snapToGrid w:val="0"/>
          <w:color w:val="000000"/>
          <w:spacing w:val="4"/>
          <w:kern w:val="0"/>
          <w:sz w:val="32"/>
          <w:szCs w:val="32"/>
        </w:rPr>
        <w:t>《</w:t>
      </w:r>
      <w:r>
        <w:rPr>
          <w:rFonts w:ascii="仿宋_GB2312" w:hAnsi="宋体" w:eastAsia="仿宋_GB2312" w:cs="仿宋_GB2312"/>
          <w:snapToGrid w:val="0"/>
          <w:color w:val="000000"/>
          <w:spacing w:val="4"/>
          <w:kern w:val="0"/>
          <w:sz w:val="32"/>
          <w:szCs w:val="32"/>
        </w:rPr>
        <w:t>中共中央办公厅</w:t>
      </w:r>
      <w:r>
        <w:rPr>
          <w:rFonts w:hint="eastAsia" w:ascii="仿宋_GB2312" w:hAnsi="宋体" w:eastAsia="仿宋_GB2312" w:cs="仿宋_GB2312"/>
          <w:snapToGrid w:val="0"/>
          <w:color w:val="000000"/>
          <w:spacing w:val="4"/>
          <w:kern w:val="0"/>
          <w:sz w:val="32"/>
          <w:szCs w:val="32"/>
        </w:rPr>
        <w:t xml:space="preserve"> </w:t>
      </w:r>
      <w:r>
        <w:rPr>
          <w:rFonts w:ascii="仿宋_GB2312" w:hAnsi="宋体" w:eastAsia="仿宋_GB2312" w:cs="仿宋_GB2312"/>
          <w:snapToGrid w:val="0"/>
          <w:color w:val="000000"/>
          <w:spacing w:val="4"/>
          <w:kern w:val="0"/>
          <w:sz w:val="32"/>
          <w:szCs w:val="32"/>
        </w:rPr>
        <w:t>国务院办公厅</w:t>
      </w:r>
      <w:r>
        <w:rPr>
          <w:rFonts w:hint="eastAsia" w:ascii="仿宋_GB2312" w:hAnsi="宋体" w:eastAsia="仿宋_GB2312" w:cs="仿宋_GB2312"/>
          <w:snapToGrid w:val="0"/>
          <w:color w:val="000000"/>
          <w:spacing w:val="4"/>
          <w:kern w:val="0"/>
          <w:sz w:val="32"/>
          <w:szCs w:val="32"/>
        </w:rPr>
        <w:t>关于印发</w:t>
      </w:r>
      <w:r>
        <w:rPr>
          <w:rFonts w:hint="eastAsia" w:ascii="仿宋_GB2312" w:hAnsi="宋体" w:eastAsia="仿宋_GB2312" w:cs="仿宋_GB2312"/>
          <w:snapToGrid w:val="0"/>
          <w:color w:val="000000"/>
          <w:spacing w:val="0"/>
          <w:kern w:val="0"/>
          <w:sz w:val="32"/>
          <w:szCs w:val="32"/>
        </w:rPr>
        <w:t>&lt;</w:t>
      </w:r>
      <w:r>
        <w:rPr>
          <w:rFonts w:ascii="仿宋_GB2312" w:hAnsi="宋体" w:eastAsia="仿宋_GB2312" w:cs="仿宋_GB2312"/>
          <w:snapToGrid w:val="0"/>
          <w:color w:val="000000"/>
          <w:spacing w:val="0"/>
          <w:kern w:val="0"/>
          <w:sz w:val="32"/>
          <w:szCs w:val="32"/>
        </w:rPr>
        <w:t>关于</w:t>
      </w:r>
      <w:r>
        <w:rPr>
          <w:rFonts w:hint="eastAsia" w:ascii="仿宋_GB2312" w:hAnsi="宋体" w:eastAsia="仿宋_GB2312" w:cs="仿宋_GB2312"/>
          <w:snapToGrid w:val="0"/>
          <w:color w:val="000000"/>
          <w:spacing w:val="0"/>
          <w:kern w:val="0"/>
          <w:sz w:val="32"/>
          <w:szCs w:val="32"/>
        </w:rPr>
        <w:t>进一步减轻义务教育阶段学生作业负担和校外培训负担&gt;的意见》（中办发〔2021〕40号）、《国务院办公厅关于规范校外培训机构发展的意见》（国办发〔2018〕80号）、《山东省教育厅 山东省体育局关于印发&lt;山东省体育类校外培训机构设置规定（暂行）&gt;的通知》（鲁教监管字〔2022〕2号）、《山东省教育厅 山东省文化和旅游厅关于印发&lt;山东省文化艺术类校外培训机构设置规定（暂行）&gt;的通知》（鲁教监管字〔2022〕3号）、《山东省教育厅 山东省科学技术厅关于印发&lt;山东省科技类校外培训机构设置规定（暂行）&gt;的通知》（鲁教监管字〔2022〕4号）等文件精神，根据《中华人民共和国民办教育促进法》《中华人民共和国民办教育促进法实施条例》等法律法规的规定，结合我市实际，制定本标准。</w:t>
      </w:r>
    </w:p>
    <w:p w14:paraId="6006ED84">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ascii="黑体" w:hAnsi="宋体" w:eastAsia="黑体" w:cs="黑体"/>
          <w:snapToGrid w:val="0"/>
          <w:color w:val="000000"/>
          <w:spacing w:val="0"/>
          <w:kern w:val="0"/>
          <w:sz w:val="32"/>
          <w:szCs w:val="32"/>
        </w:rPr>
        <w:t>一、适用范围</w:t>
      </w:r>
    </w:p>
    <w:p w14:paraId="54A31202">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spacing w:val="0"/>
          <w:kern w:val="0"/>
          <w:sz w:val="32"/>
          <w:szCs w:val="32"/>
        </w:rPr>
      </w:pPr>
      <w:r>
        <w:rPr>
          <w:rFonts w:hint="eastAsia" w:ascii="仿宋_GB2312" w:hAnsi="宋体" w:eastAsia="仿宋_GB2312" w:cs="仿宋_GB2312"/>
          <w:snapToGrid w:val="0"/>
          <w:spacing w:val="0"/>
          <w:kern w:val="0"/>
          <w:sz w:val="32"/>
          <w:szCs w:val="32"/>
        </w:rPr>
        <w:t>本标准所指的校外培训机构是指经依法审批、登记，由国家机构以外的社会组织或个人利用非国家财政性经费举办实施的非学历教育培训机构。办学内容为线下开展的非学科类培训和各类助学自考培训。</w:t>
      </w:r>
    </w:p>
    <w:p w14:paraId="0522CDEE">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本标准所指的非学科类培训是指面向中小学生开展体育类、文化艺术类等学习内容的校外培训，具体类别详见《教育部办公厅关于印发＜义务教育阶段校外培训项目分类鉴别指南＞的通知》（教监管厅函〔2021〕16号）、《山东省教育厅等四部门关于印发&lt;山东省非学科类校外培训类别细目清单&gt;的通知》（鲁教监管函〔2023〕8号）。</w:t>
      </w:r>
    </w:p>
    <w:p w14:paraId="2BD037DC">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本标准所指各类助学自考培训是指面向成人开展成人高考辅导、普通专升本辅导、考研辅导、高考复读、语言培训等文化教育类的非学历教育培训。</w:t>
      </w:r>
    </w:p>
    <w:p w14:paraId="7AC8C981">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仿宋_GB2312" w:hAnsi="宋体" w:eastAsia="仿宋_GB2312" w:cs="仿宋_GB2312"/>
          <w:snapToGrid w:val="0"/>
          <w:color w:val="000000"/>
          <w:spacing w:val="0"/>
          <w:kern w:val="0"/>
          <w:sz w:val="32"/>
          <w:szCs w:val="32"/>
        </w:rPr>
        <w:t>本标准不适用于职业技能类、职业资格类等培训机构和仅通过互联网等非线下方式提供培训服务的机构；不适用于各级体育行政部门所辖运动项目管理中心、体校、场馆等单位</w:t>
      </w:r>
      <w:r>
        <w:rPr>
          <w:rFonts w:hint="eastAsia" w:ascii="仿宋_GB2312" w:hAnsi="宋体" w:eastAsia="仿宋_GB2312" w:cs="仿宋_GB2312"/>
          <w:snapToGrid w:val="0"/>
          <w:spacing w:val="0"/>
          <w:kern w:val="0"/>
          <w:sz w:val="32"/>
          <w:szCs w:val="32"/>
        </w:rPr>
        <w:t>面向各类人群提供的体育训练、体育培训等体育服务以及学校自行管理的体育训练。</w:t>
      </w:r>
    </w:p>
    <w:p w14:paraId="25C5AE68">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黑体" w:hAnsi="宋体" w:eastAsia="黑体" w:cs="黑体"/>
          <w:snapToGrid w:val="0"/>
          <w:color w:val="000000"/>
          <w:spacing w:val="0"/>
          <w:kern w:val="0"/>
          <w:sz w:val="32"/>
          <w:szCs w:val="32"/>
        </w:rPr>
        <w:t>二、设立原则</w:t>
      </w:r>
    </w:p>
    <w:p w14:paraId="442BBF69">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坚持育人为本。全面贯彻党的教育方针，提高学生审美和人文素养，促进学生全面发展。</w:t>
      </w:r>
    </w:p>
    <w:p w14:paraId="279C50FD">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坚持公益属性。始终把社会效益放在首位，防止过高收费和过度逐利行为。</w:t>
      </w:r>
    </w:p>
    <w:p w14:paraId="3759393E">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坚守安全底线。坚持生命至上，切实保障师生安全，从源头上防范化解重大安全风险。</w:t>
      </w:r>
    </w:p>
    <w:p w14:paraId="7E3DD986">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黑体" w:hAnsi="宋体" w:eastAsia="黑体" w:cs="黑体"/>
          <w:snapToGrid w:val="0"/>
          <w:color w:val="000000"/>
          <w:spacing w:val="0"/>
          <w:kern w:val="0"/>
          <w:sz w:val="32"/>
          <w:szCs w:val="32"/>
        </w:rPr>
        <w:t>三、举办者</w:t>
      </w:r>
    </w:p>
    <w:p w14:paraId="7610D9E2">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spacing w:val="0"/>
          <w:kern w:val="0"/>
          <w:sz w:val="32"/>
          <w:szCs w:val="32"/>
        </w:rPr>
      </w:pPr>
      <w:r>
        <w:rPr>
          <w:rFonts w:hint="eastAsia" w:ascii="仿宋_GB2312" w:hAnsi="宋体" w:eastAsia="仿宋_GB2312" w:cs="仿宋_GB2312"/>
          <w:snapToGrid w:val="0"/>
          <w:color w:val="000000"/>
          <w:spacing w:val="0"/>
          <w:kern w:val="0"/>
          <w:sz w:val="32"/>
          <w:szCs w:val="32"/>
        </w:rPr>
        <w:t>校外培训机构的举办者，应是国家机构以外的企业、社会组织或自然人，并具备本标准规定的相应条件。</w:t>
      </w:r>
      <w:r>
        <w:rPr>
          <w:rFonts w:hint="eastAsia" w:ascii="仿宋_GB2312" w:hAnsi="宋体" w:eastAsia="仿宋_GB2312" w:cs="仿宋_GB2312"/>
          <w:snapToGrid w:val="0"/>
          <w:spacing w:val="0"/>
          <w:kern w:val="0"/>
          <w:sz w:val="32"/>
          <w:szCs w:val="32"/>
        </w:rPr>
        <w:t>中小学校和幼儿园不得举办或参与举办校外培训机构。</w:t>
      </w:r>
    </w:p>
    <w:p w14:paraId="2838E28A">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FF0000"/>
          <w:spacing w:val="0"/>
          <w:kern w:val="0"/>
          <w:sz w:val="32"/>
          <w:szCs w:val="32"/>
        </w:rPr>
      </w:pPr>
      <w:r>
        <w:rPr>
          <w:rFonts w:hint="eastAsia" w:ascii="仿宋_GB2312" w:hAnsi="宋体" w:eastAsia="仿宋_GB2312" w:cs="仿宋_GB2312"/>
          <w:snapToGrid w:val="0"/>
          <w:color w:val="000000"/>
          <w:spacing w:val="0"/>
          <w:kern w:val="0"/>
          <w:sz w:val="32"/>
          <w:szCs w:val="32"/>
        </w:rPr>
        <w:t>举办者是企业、社会组织的，应具有中华人民共和国法人资格，信用状况良好，</w:t>
      </w:r>
      <w:r>
        <w:rPr>
          <w:rFonts w:hint="eastAsia" w:ascii="仿宋_GB2312" w:hAnsi="宋体" w:eastAsia="仿宋_GB2312" w:cs="仿宋_GB2312"/>
          <w:snapToGrid w:val="0"/>
          <w:spacing w:val="0"/>
          <w:kern w:val="0"/>
          <w:sz w:val="32"/>
          <w:szCs w:val="32"/>
        </w:rPr>
        <w:t>未被列入企业经营异常名录、严重违法失信名单、社会组织严重违法失信名单或者社会组织活动异常名录，无不良记录。</w:t>
      </w:r>
    </w:p>
    <w:p w14:paraId="1363E19A">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spacing w:val="0"/>
          <w:kern w:val="0"/>
          <w:sz w:val="32"/>
          <w:szCs w:val="32"/>
        </w:rPr>
        <w:t>举办者为自然人的，应具有中华人民共和国国籍，享有政治权利和具有完全民事行为能力，在中国境内定居，信用状况良好，无犯罪记录，无教育领域以及拟举办项目所涉体育、文化艺术等相</w:t>
      </w:r>
      <w:r>
        <w:rPr>
          <w:rFonts w:hint="eastAsia" w:ascii="仿宋_GB2312" w:hAnsi="宋体" w:eastAsia="仿宋_GB2312" w:cs="仿宋_GB2312"/>
          <w:snapToGrid w:val="0"/>
          <w:color w:val="000000"/>
          <w:spacing w:val="0"/>
          <w:kern w:val="0"/>
          <w:sz w:val="32"/>
          <w:szCs w:val="32"/>
        </w:rPr>
        <w:t>关领域不良从业记录。</w:t>
      </w:r>
    </w:p>
    <w:p w14:paraId="0F448D1C">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联合举办校外培训机构的，应当签订联合办学协议，明确培训宗旨、业务范围、出资比例以及各自权利义务和争议解决办法等内容。</w:t>
      </w:r>
    </w:p>
    <w:p w14:paraId="187DA75A">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黑体" w:hAnsi="宋体" w:eastAsia="黑体" w:cs="黑体"/>
          <w:snapToGrid w:val="0"/>
          <w:color w:val="000000"/>
          <w:spacing w:val="0"/>
          <w:kern w:val="0"/>
          <w:sz w:val="32"/>
          <w:szCs w:val="32"/>
        </w:rPr>
        <w:t>四、机构名称</w:t>
      </w:r>
    </w:p>
    <w:p w14:paraId="77C3016E">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校外培训机构名称应符合《企业名称登记管理规定》（国务院令第734号）、《社会组织名称管理办法》（民政部令第69号）、《工商总局 教育部关于营利性民办学校名称登记管理有关工作的通知》（工商企注字〔2017〕156号）等规定。校外培训机构只能使用一个机构名称，名称应当载明“培训”字样，名称中不得含有歧义或误导性词汇，不得损害公共利益，不得违背社会公序良俗，不得使用与其他各类学校混淆的名称。一般应当由行政区划、字号、行业（业务领域）、类型、层次、组织形式等组成。校外培训机构悬挂名称应当与登记名称相符，使用简称应符合有关规定。</w:t>
      </w:r>
    </w:p>
    <w:p w14:paraId="2353466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28" w:firstLineChars="200"/>
        <w:textAlignment w:val="auto"/>
        <w:rPr>
          <w:rFonts w:ascii="黑体" w:hAnsi="宋体" w:eastAsia="黑体" w:cs="黑体"/>
          <w:snapToGrid w:val="0"/>
          <w:color w:val="000000"/>
          <w:spacing w:val="0"/>
          <w:kern w:val="0"/>
          <w:sz w:val="32"/>
          <w:szCs w:val="32"/>
        </w:rPr>
      </w:pPr>
      <w:r>
        <w:rPr>
          <w:rFonts w:hint="eastAsia" w:ascii="黑体" w:hAnsi="宋体" w:eastAsia="黑体" w:cs="黑体"/>
          <w:snapToGrid w:val="0"/>
          <w:color w:val="000000"/>
          <w:spacing w:val="0"/>
          <w:kern w:val="0"/>
          <w:sz w:val="32"/>
          <w:szCs w:val="32"/>
          <w:lang w:val="en-US" w:eastAsia="zh-CN" w:bidi="ar-SA"/>
        </w:rPr>
        <w:t>五、</w:t>
      </w:r>
      <w:r>
        <w:rPr>
          <w:rFonts w:hint="eastAsia" w:ascii="黑体" w:hAnsi="宋体" w:eastAsia="黑体" w:cs="黑体"/>
          <w:snapToGrid w:val="0"/>
          <w:color w:val="000000"/>
          <w:spacing w:val="0"/>
          <w:kern w:val="0"/>
          <w:sz w:val="32"/>
          <w:szCs w:val="32"/>
        </w:rPr>
        <w:t>开办资金</w:t>
      </w:r>
    </w:p>
    <w:p w14:paraId="7972F0A4">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开办资金（注册资本）应与培训形式、培训项目、培训规模相适应，符合《中华人民共和国公司法》《民办非企业单位登记管理暂行条例》等法律、法规、规章的有关规定。校外培训机构在正式设立时，开办资金（注册资本）应当足额实缴，并出具有效证明。校外培训机构存续期间，不得抽逃出资，不得挪用办学经费。涉及联合办学的，举办者之间对办学投入承担相应的法律责任。</w:t>
      </w:r>
    </w:p>
    <w:p w14:paraId="123C8AD8">
      <w:pPr>
        <w:pStyle w:val="5"/>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营利性校外培训机构注册资本原则上不低于30万元人民币。以货币出资的，应当按期足额存入机构银行账户；以非货币财产出资的，应提供有资质机构出具的资产评估报告，且依法办理财产权转移手续。货币和实物共同出资的，两者相加不低于30万元，并提供相关资产的验资报告和资产评估报告。</w:t>
      </w:r>
    </w:p>
    <w:p w14:paraId="2AC0A9E0">
      <w:pPr>
        <w:pStyle w:val="5"/>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spacing w:val="0"/>
          <w:kern w:val="0"/>
          <w:sz w:val="32"/>
          <w:szCs w:val="32"/>
        </w:rPr>
      </w:pPr>
      <w:r>
        <w:rPr>
          <w:rFonts w:hint="eastAsia" w:ascii="仿宋_GB2312" w:hAnsi="宋体" w:eastAsia="仿宋_GB2312" w:cs="仿宋_GB2312"/>
          <w:snapToGrid w:val="0"/>
          <w:spacing w:val="0"/>
          <w:kern w:val="0"/>
          <w:sz w:val="32"/>
          <w:szCs w:val="32"/>
        </w:rPr>
        <w:t>非营利性校外培训机构开办资金，原则上不低于30万元人民币，以到账实有货币资金为准，应当履行法定验资程序。出资者投入的开办资金归校外培训机构所有，出资人不得申请撤资或变相撤资，不得要求获得办学盈余的分红，不得要求终止办学时剩余资产的分配。</w:t>
      </w:r>
    </w:p>
    <w:p w14:paraId="255D6FB7">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财政性经费不得作为举办者开办资金（注册资本）。以国有资产作为开办资金（注册资本）的，应当符合国有资产监督管理等相关规定。</w:t>
      </w:r>
    </w:p>
    <w:p w14:paraId="77D6B42C">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黑体" w:hAnsi="宋体" w:eastAsia="黑体" w:cs="黑体"/>
          <w:snapToGrid w:val="0"/>
          <w:color w:val="000000"/>
          <w:spacing w:val="0"/>
          <w:kern w:val="0"/>
          <w:sz w:val="32"/>
          <w:szCs w:val="32"/>
        </w:rPr>
        <w:t>六、场地设施</w:t>
      </w:r>
    </w:p>
    <w:p w14:paraId="1512E146">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hint="eastAsia" w:ascii="楷体_GB2312" w:hAnsi="楷体_GB2312" w:eastAsia="楷体_GB2312" w:cs="楷体_GB2312"/>
          <w:snapToGrid w:val="0"/>
          <w:color w:val="000000"/>
          <w:spacing w:val="0"/>
          <w:kern w:val="0"/>
          <w:sz w:val="32"/>
          <w:szCs w:val="32"/>
        </w:rPr>
      </w:pPr>
      <w:r>
        <w:rPr>
          <w:rFonts w:hint="eastAsia" w:ascii="楷体_GB2312" w:hAnsi="楷体_GB2312" w:eastAsia="楷体_GB2312" w:cs="楷体_GB2312"/>
          <w:snapToGrid w:val="0"/>
          <w:color w:val="000000"/>
          <w:spacing w:val="0"/>
          <w:kern w:val="0"/>
          <w:sz w:val="32"/>
          <w:szCs w:val="32"/>
        </w:rPr>
        <w:t>（一）</w:t>
      </w:r>
      <w:r>
        <w:rPr>
          <w:rFonts w:hint="eastAsia" w:ascii="楷体_GB2312" w:hAnsi="楷体_GB2312" w:eastAsia="楷体_GB2312" w:cs="楷体_GB2312"/>
          <w:snapToGrid w:val="0"/>
          <w:spacing w:val="0"/>
          <w:kern w:val="0"/>
          <w:sz w:val="32"/>
          <w:szCs w:val="32"/>
        </w:rPr>
        <w:t>场地性质</w:t>
      </w:r>
    </w:p>
    <w:p w14:paraId="2BD3ED15">
      <w:pPr>
        <w:pStyle w:val="2"/>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hAnsi="宋体" w:cs="仿宋_GB2312"/>
          <w:snapToGrid w:val="0"/>
          <w:spacing w:val="0"/>
          <w:kern w:val="0"/>
          <w:szCs w:val="32"/>
        </w:rPr>
      </w:pPr>
      <w:r>
        <w:rPr>
          <w:rFonts w:hint="eastAsia" w:hAnsi="宋体" w:cs="仿宋_GB2312"/>
          <w:snapToGrid w:val="0"/>
          <w:color w:val="000000"/>
          <w:spacing w:val="0"/>
          <w:kern w:val="0"/>
          <w:szCs w:val="32"/>
        </w:rPr>
        <w:t>校外培训机构应当具有与培训项目、培训规模相适应的固定场地（含办公用房、教学培训用房和其他必备场地），并取得合法的产权或使用权。以自有场地开办的，应提供开办场地的产权证明材料且产权清晰；以租用场地开办的，在提供房屋产权材料外，还应提供具有法律效力的租赁合同（协议），租赁合同（协议）中应明确双方消防安全责任，租赁期限自申请开办之日起不得少于2年，不得租用未依法依规办理建设工程消防设计审查验收手续的场所</w:t>
      </w:r>
      <w:r>
        <w:rPr>
          <w:rFonts w:hint="eastAsia" w:hAnsi="宋体" w:cs="仿宋_GB2312"/>
          <w:snapToGrid w:val="0"/>
          <w:spacing w:val="0"/>
          <w:kern w:val="0"/>
          <w:szCs w:val="32"/>
        </w:rPr>
        <w:t>，不得租用未通过消防验收的场地。</w:t>
      </w:r>
    </w:p>
    <w:p w14:paraId="1435CBE0">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hint="eastAsia" w:ascii="楷体_GB2312" w:hAnsi="楷体_GB2312" w:eastAsia="楷体_GB2312" w:cs="楷体_GB2312"/>
          <w:snapToGrid w:val="0"/>
          <w:color w:val="000000"/>
          <w:spacing w:val="0"/>
          <w:kern w:val="0"/>
          <w:sz w:val="32"/>
          <w:szCs w:val="32"/>
        </w:rPr>
      </w:pPr>
      <w:r>
        <w:rPr>
          <w:rFonts w:hint="eastAsia" w:ascii="楷体_GB2312" w:hAnsi="楷体_GB2312" w:eastAsia="楷体_GB2312" w:cs="楷体_GB2312"/>
          <w:snapToGrid w:val="0"/>
          <w:color w:val="000000"/>
          <w:spacing w:val="0"/>
          <w:kern w:val="0"/>
          <w:sz w:val="32"/>
          <w:szCs w:val="32"/>
        </w:rPr>
        <w:t>（二）场地要求</w:t>
      </w:r>
    </w:p>
    <w:p w14:paraId="7E4D84B5">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的办学场地应当符合安全、质检、消防、卫生、环保等标准。按照国家工程建设消防技术标准需进行消防设计的建设工程，应办理消防设计审查验收手续，达到有关国家工程建设消防技术标准要求。改变原有建筑使用功能的，应提供房屋安全鉴定报告。不得使用工业厂房、居民住宅、简易建筑、临时建筑、危房、地下和半地下建筑、仓库、车库、夹层、违章建筑等有安全隐患的场地（以不动产权证书载明的“用途”为准）。不得租赁或借用</w:t>
      </w:r>
      <w:r>
        <w:rPr>
          <w:rFonts w:hint="eastAsia" w:ascii="仿宋_GB2312" w:hAnsi="宋体" w:eastAsia="仿宋_GB2312" w:cs="仿宋_GB2312"/>
          <w:snapToGrid w:val="0"/>
          <w:spacing w:val="0"/>
          <w:kern w:val="0"/>
          <w:sz w:val="32"/>
          <w:szCs w:val="32"/>
        </w:rPr>
        <w:t>中小学校</w:t>
      </w:r>
      <w:r>
        <w:rPr>
          <w:rFonts w:hint="eastAsia" w:ascii="仿宋_GB2312" w:hAnsi="宋体" w:eastAsia="仿宋_GB2312" w:cs="仿宋_GB2312"/>
          <w:snapToGrid w:val="0"/>
          <w:color w:val="000000"/>
          <w:spacing w:val="0"/>
          <w:kern w:val="0"/>
          <w:sz w:val="32"/>
          <w:szCs w:val="32"/>
        </w:rPr>
        <w:t>和幼儿园校舍、场地办学。应当避开影响学生身心健康和可能危及学生人身安全的场所。</w:t>
      </w:r>
    </w:p>
    <w:p w14:paraId="6CDABAD5">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FF0000"/>
          <w:spacing w:val="0"/>
          <w:kern w:val="0"/>
          <w:sz w:val="32"/>
          <w:szCs w:val="32"/>
        </w:rPr>
      </w:pPr>
      <w:r>
        <w:rPr>
          <w:rFonts w:hint="eastAsia" w:ascii="仿宋_GB2312" w:hAnsi="宋体" w:eastAsia="仿宋_GB2312" w:cs="仿宋_GB2312"/>
          <w:snapToGrid w:val="0"/>
          <w:color w:val="000000"/>
          <w:spacing w:val="0"/>
          <w:kern w:val="0"/>
          <w:sz w:val="32"/>
          <w:szCs w:val="32"/>
        </w:rPr>
        <w:t>非学科类校外培训机构办学场地楼层不得高于5层，其中，培训对象含有义务教育阶段学生的办学场地楼层不得高于4层。</w:t>
      </w:r>
      <w:r>
        <w:rPr>
          <w:rFonts w:hint="eastAsia" w:ascii="仿宋_GB2312" w:hAnsi="宋体" w:eastAsia="仿宋_GB2312" w:cs="仿宋_GB2312"/>
          <w:snapToGrid w:val="0"/>
          <w:spacing w:val="0"/>
          <w:kern w:val="0"/>
          <w:sz w:val="32"/>
          <w:szCs w:val="32"/>
        </w:rPr>
        <w:t>现有</w:t>
      </w:r>
      <w:r>
        <w:rPr>
          <w:rFonts w:hint="eastAsia" w:ascii="仿宋_GB2312" w:hAnsi="宋体" w:eastAsia="仿宋_GB2312" w:cs="仿宋_GB2312"/>
          <w:snapToGrid w:val="0"/>
          <w:color w:val="000000"/>
          <w:spacing w:val="0"/>
          <w:kern w:val="0"/>
          <w:sz w:val="32"/>
          <w:szCs w:val="32"/>
        </w:rPr>
        <w:t>培训对象含有3至6岁学龄前儿童的办学场地楼层不得高于3层</w:t>
      </w:r>
      <w:r>
        <w:rPr>
          <w:rFonts w:hint="eastAsia" w:ascii="仿宋_GB2312" w:hAnsi="宋体" w:eastAsia="仿宋_GB2312" w:cs="仿宋_GB2312"/>
          <w:snapToGrid w:val="0"/>
          <w:spacing w:val="0"/>
          <w:kern w:val="0"/>
          <w:sz w:val="32"/>
          <w:szCs w:val="32"/>
        </w:rPr>
        <w:t>，且符合有关国家工程技术标准中关于幼儿园儿童用房的有关要求。</w:t>
      </w:r>
    </w:p>
    <w:p w14:paraId="06686F27">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开展体育类培训的机构户外教学场地按规定不需要办理消防手续的，不需要提供消防证明材料，机构应当选取符合标准要求的安全场地、保障师生安全，通过签订协议等方式与业主或者其委托管理方明确场地安全防范责任、设施设备安全维护责任、人身意外伤害处理机制等事宜。</w:t>
      </w:r>
    </w:p>
    <w:p w14:paraId="73D52C4A">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hint="eastAsia" w:ascii="楷体_GB2312" w:hAnsi="楷体_GB2312" w:eastAsia="楷体_GB2312" w:cs="楷体_GB2312"/>
          <w:snapToGrid w:val="0"/>
          <w:color w:val="000000"/>
          <w:spacing w:val="0"/>
          <w:kern w:val="0"/>
          <w:sz w:val="32"/>
          <w:szCs w:val="32"/>
        </w:rPr>
      </w:pPr>
      <w:r>
        <w:rPr>
          <w:rFonts w:hint="eastAsia" w:ascii="楷体_GB2312" w:hAnsi="楷体_GB2312" w:eastAsia="楷体_GB2312" w:cs="楷体_GB2312"/>
          <w:snapToGrid w:val="0"/>
          <w:color w:val="000000"/>
          <w:spacing w:val="0"/>
          <w:kern w:val="0"/>
          <w:sz w:val="32"/>
          <w:szCs w:val="32"/>
        </w:rPr>
        <w:t>（三）场地面积</w:t>
      </w:r>
    </w:p>
    <w:p w14:paraId="6CF45A69">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校外培训机构办学场地面积应与培训内容和规模相适应，能够满足教学需要，确保不拥挤、易疏散。办学场地总面积不低于200平方米，教学用房面积</w:t>
      </w:r>
      <w:bookmarkStart w:id="2" w:name="_Hlk107929772"/>
      <w:r>
        <w:rPr>
          <w:rFonts w:hint="eastAsia" w:ascii="仿宋_GB2312" w:hAnsi="宋体" w:eastAsia="仿宋_GB2312" w:cs="仿宋_GB2312"/>
          <w:snapToGrid w:val="0"/>
          <w:color w:val="000000"/>
          <w:spacing w:val="0"/>
          <w:kern w:val="0"/>
          <w:sz w:val="32"/>
          <w:szCs w:val="32"/>
        </w:rPr>
        <w:t>（教学用房面积指用于实际培训的场地面积，不包括配套服务场地面积）</w:t>
      </w:r>
      <w:bookmarkEnd w:id="2"/>
      <w:r>
        <w:rPr>
          <w:rFonts w:hint="eastAsia" w:ascii="仿宋_GB2312" w:hAnsi="宋体" w:eastAsia="仿宋_GB2312" w:cs="仿宋_GB2312"/>
          <w:snapToGrid w:val="0"/>
          <w:color w:val="000000"/>
          <w:spacing w:val="0"/>
          <w:kern w:val="0"/>
          <w:sz w:val="32"/>
          <w:szCs w:val="32"/>
        </w:rPr>
        <w:t>不少于办学场地总面积的三分之二，教学用房面积应满足同一培训时段内生均场地面积不低于3平方米（生均场地面积=办学场地总面积/同一时间场地内的学生人数，其中办学场地总面积指用于培训的场地面积，不包括配套服务场地面积）。办学场地应预留安全距离，具备与所开展项目相适应的场地空间。开办以下培训项目，应提高生均场地面积标准：</w:t>
      </w:r>
    </w:p>
    <w:p w14:paraId="480F6853">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（1）体育类培训机构（棋牌类体育项目除外）每班次</w:t>
      </w:r>
      <w:r>
        <w:rPr>
          <w:rFonts w:hint="eastAsia" w:ascii="仿宋_GB2312" w:hAnsi="宋体" w:eastAsia="仿宋_GB2312" w:cs="仿宋_GB2312"/>
          <w:snapToGrid w:val="0"/>
          <w:spacing w:val="0"/>
          <w:kern w:val="0"/>
          <w:sz w:val="32"/>
          <w:szCs w:val="32"/>
        </w:rPr>
        <w:t>同一培训时段内</w:t>
      </w:r>
      <w:r>
        <w:rPr>
          <w:rFonts w:hint="eastAsia" w:ascii="仿宋_GB2312" w:hAnsi="宋体" w:eastAsia="仿宋_GB2312" w:cs="仿宋_GB2312"/>
          <w:snapToGrid w:val="0"/>
          <w:color w:val="000000"/>
          <w:spacing w:val="0"/>
          <w:kern w:val="0"/>
          <w:sz w:val="32"/>
          <w:szCs w:val="32"/>
        </w:rPr>
        <w:t>生均场地面积不低于5平方米。</w:t>
      </w:r>
    </w:p>
    <w:p w14:paraId="58BEC37F">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（2）文化艺术类培训机构开展舞蹈类、戏剧类培训项目每班次同一培训时段内生均场地面积不低于6平方米。</w:t>
      </w:r>
    </w:p>
    <w:p w14:paraId="2A4FA6E7">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楷体_GB2312" w:hAnsi="楷体_GB2312" w:eastAsia="楷体_GB2312" w:cs="楷体_GB2312"/>
          <w:snapToGrid w:val="0"/>
          <w:color w:val="000000"/>
          <w:spacing w:val="0"/>
          <w:kern w:val="0"/>
          <w:sz w:val="32"/>
          <w:szCs w:val="32"/>
        </w:rPr>
      </w:pPr>
      <w:r>
        <w:rPr>
          <w:rFonts w:hint="eastAsia" w:ascii="楷体_GB2312" w:hAnsi="楷体_GB2312" w:eastAsia="楷体_GB2312" w:cs="楷体_GB2312"/>
          <w:snapToGrid w:val="0"/>
          <w:color w:val="000000"/>
          <w:spacing w:val="0"/>
          <w:kern w:val="0"/>
          <w:sz w:val="32"/>
          <w:szCs w:val="32"/>
        </w:rPr>
        <w:t>（四）设施设备</w:t>
      </w:r>
    </w:p>
    <w:p w14:paraId="21221296">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校外培训机构应具有与培训类别、培训层次、培训项目和培训规模相适应的设施设备和器材资料等。</w:t>
      </w:r>
      <w:r>
        <w:rPr>
          <w:rFonts w:hint="eastAsia" w:ascii="仿宋_GB2312" w:hAnsi="宋体" w:eastAsia="仿宋_GB2312" w:cs="仿宋_GB2312"/>
          <w:snapToGrid w:val="0"/>
          <w:spacing w:val="0"/>
          <w:kern w:val="0"/>
          <w:sz w:val="32"/>
          <w:szCs w:val="32"/>
        </w:rPr>
        <w:t>学生活动场地及重点部位</w:t>
      </w:r>
      <w:r>
        <w:rPr>
          <w:rFonts w:hint="eastAsia" w:ascii="仿宋_GB2312" w:hAnsi="宋体" w:eastAsia="仿宋_GB2312" w:cs="仿宋_GB2312"/>
          <w:snapToGrid w:val="0"/>
          <w:spacing w:val="-2"/>
          <w:kern w:val="0"/>
          <w:sz w:val="32"/>
          <w:szCs w:val="32"/>
        </w:rPr>
        <w:t>应配备视频监控和一键报警设备，并按要求接入相关监管平台</w:t>
      </w:r>
      <w:r>
        <w:rPr>
          <w:rFonts w:hint="eastAsia" w:ascii="仿宋_GB2312" w:hAnsi="宋体" w:eastAsia="仿宋_GB2312" w:cs="仿宋_GB2312"/>
          <w:snapToGrid w:val="0"/>
          <w:spacing w:val="0"/>
          <w:kern w:val="0"/>
          <w:sz w:val="32"/>
          <w:szCs w:val="32"/>
        </w:rPr>
        <w:t>，视频留存时长不得少于90天。</w:t>
      </w:r>
      <w:r>
        <w:rPr>
          <w:rFonts w:hint="eastAsia" w:ascii="仿宋_GB2312" w:hAnsi="宋体" w:eastAsia="仿宋_GB2312" w:cs="仿宋_GB2312"/>
          <w:snapToGrid w:val="0"/>
          <w:color w:val="000000"/>
          <w:spacing w:val="0"/>
          <w:kern w:val="0"/>
          <w:sz w:val="32"/>
          <w:szCs w:val="32"/>
        </w:rPr>
        <w:t>室内培训项目要按照采光和照明有关标准，落实好青少年近视防控要求。对于存在安全风险的设施设备，须做好防护措施，设立警示标牌，并制定应急预案、配备基本防护用品。设施设备存在噪音危害的，应采取有效的措施隔音降噪。</w:t>
      </w:r>
    </w:p>
    <w:p w14:paraId="3FAEEDEB">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spacing w:val="0"/>
          <w:kern w:val="0"/>
          <w:sz w:val="32"/>
          <w:szCs w:val="32"/>
        </w:rPr>
      </w:pPr>
      <w:r>
        <w:rPr>
          <w:rFonts w:hint="eastAsia" w:ascii="仿宋_GB2312" w:hAnsi="宋体" w:eastAsia="仿宋_GB2312" w:cs="仿宋_GB2312"/>
          <w:snapToGrid w:val="0"/>
          <w:spacing w:val="0"/>
          <w:kern w:val="0"/>
          <w:sz w:val="32"/>
          <w:szCs w:val="32"/>
        </w:rPr>
        <w:t>（1）体</w:t>
      </w:r>
      <w:r>
        <w:rPr>
          <w:rFonts w:hint="eastAsia" w:ascii="仿宋_GB2312" w:hAnsi="宋体" w:eastAsia="仿宋_GB2312" w:cs="仿宋_GB2312"/>
          <w:snapToGrid w:val="0"/>
          <w:spacing w:val="-2"/>
          <w:kern w:val="0"/>
          <w:sz w:val="32"/>
          <w:szCs w:val="32"/>
        </w:rPr>
        <w:t>育类培训机构开展高危体育项目的，场地应符合国家规定的条件与技术要求,同时应取得经营高危险性体育项目许可。</w:t>
      </w:r>
    </w:p>
    <w:p w14:paraId="0E4270B9">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spacing w:val="0"/>
          <w:kern w:val="0"/>
          <w:sz w:val="32"/>
          <w:szCs w:val="32"/>
        </w:rPr>
        <w:t>（2）文化艺术类培训机构开展舞蹈、美术等专业的，设施设备参照执行《中小学校设计规范》（GB50099-2011）对专业教学的有关规定。</w:t>
      </w:r>
    </w:p>
    <w:p w14:paraId="681455CD">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黑体" w:hAnsi="宋体" w:eastAsia="黑体" w:cs="黑体"/>
          <w:snapToGrid w:val="0"/>
          <w:color w:val="000000"/>
          <w:spacing w:val="0"/>
          <w:kern w:val="0"/>
          <w:sz w:val="32"/>
          <w:szCs w:val="32"/>
        </w:rPr>
      </w:pPr>
      <w:r>
        <w:rPr>
          <w:rFonts w:hint="eastAsia" w:ascii="黑体" w:hAnsi="宋体" w:eastAsia="黑体" w:cs="黑体"/>
          <w:snapToGrid w:val="0"/>
          <w:color w:val="000000"/>
          <w:spacing w:val="0"/>
          <w:kern w:val="0"/>
          <w:sz w:val="32"/>
          <w:szCs w:val="32"/>
        </w:rPr>
        <w:t>七、</w:t>
      </w:r>
      <w:r>
        <w:rPr>
          <w:rFonts w:ascii="黑体" w:hAnsi="宋体" w:eastAsia="黑体" w:cs="黑体"/>
          <w:snapToGrid w:val="0"/>
          <w:color w:val="000000"/>
          <w:spacing w:val="0"/>
          <w:kern w:val="0"/>
          <w:sz w:val="32"/>
          <w:szCs w:val="32"/>
        </w:rPr>
        <w:t>机构章程</w:t>
      </w:r>
    </w:p>
    <w:p w14:paraId="2C80C6FC">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应依法制定章程，符合《中华人民共和国民办教育促进法》《中华人民共和国公司法》《中华人民共和国民办教育促进法实施条例》《民办非企业单位登记管理暂行条例》《体育类民办非企业单位登记审查与管理暂行办法》《艺术类民办非企业单位登记审查与管理暂行办法》中关于章程的有关规定以及国家和我省的其他相关规定。</w:t>
      </w:r>
    </w:p>
    <w:p w14:paraId="1886507D">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章程应当载明名称、住所、法人属性；举办者的权利义务，举办者变更、权益转让的办法；办学宗旨、发展定位、层次、类型、规模、形式等；开办资金、注册资本，资产的来源、性质等；理事会、董事会或者其他形式决策机构和监督机构的产生方法、人员构成、任期、议事规则等；机构的法定代表人；自行终止的事由，剩余资产处置办法与程序；章程修改程序等内容。</w:t>
      </w:r>
    </w:p>
    <w:p w14:paraId="6B96FDD6">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黑体" w:hAnsi="宋体" w:eastAsia="黑体" w:cs="黑体"/>
          <w:snapToGrid w:val="0"/>
          <w:color w:val="000000"/>
          <w:spacing w:val="0"/>
          <w:kern w:val="0"/>
          <w:sz w:val="32"/>
          <w:szCs w:val="32"/>
        </w:rPr>
      </w:pPr>
      <w:bookmarkStart w:id="3" w:name="_Toc6764"/>
      <w:bookmarkStart w:id="4" w:name="_Toc1159"/>
      <w:bookmarkStart w:id="5" w:name="_Toc7674"/>
      <w:bookmarkStart w:id="6" w:name="_Toc2416"/>
      <w:r>
        <w:rPr>
          <w:rFonts w:hint="eastAsia" w:ascii="黑体" w:hAnsi="宋体" w:eastAsia="黑体" w:cs="黑体"/>
          <w:snapToGrid w:val="0"/>
          <w:color w:val="000000"/>
          <w:spacing w:val="0"/>
          <w:kern w:val="0"/>
          <w:sz w:val="32"/>
          <w:szCs w:val="32"/>
        </w:rPr>
        <w:t>八、管理制度</w:t>
      </w:r>
      <w:bookmarkEnd w:id="3"/>
      <w:bookmarkEnd w:id="4"/>
      <w:bookmarkEnd w:id="5"/>
      <w:bookmarkEnd w:id="6"/>
    </w:p>
    <w:p w14:paraId="49463EB2">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应当按照相关法律、法规、规章和政策文件的要求，结合机构实际情况，制定各项管理制度，包括行政管理制度、学员管理制度、从业人员管理制度、安全管理制度、收退费制度、财务管理制度、档案管理制度、培训材料管理制度等。</w:t>
      </w:r>
    </w:p>
    <w:p w14:paraId="2E83B3B2">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黑体" w:hAnsi="宋体" w:eastAsia="黑体" w:cs="黑体"/>
          <w:snapToGrid w:val="0"/>
          <w:color w:val="000000"/>
          <w:spacing w:val="0"/>
          <w:kern w:val="0"/>
          <w:sz w:val="32"/>
          <w:szCs w:val="32"/>
        </w:rPr>
        <w:t>九、党组织建设</w:t>
      </w:r>
    </w:p>
    <w:p w14:paraId="0A130C6C">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仿宋_GB2312" w:hAnsi="宋体" w:eastAsia="仿宋_GB2312" w:cs="仿宋_GB2312"/>
          <w:snapToGrid w:val="0"/>
          <w:color w:val="000000"/>
          <w:spacing w:val="0"/>
          <w:kern w:val="0"/>
          <w:sz w:val="32"/>
          <w:szCs w:val="32"/>
        </w:rPr>
        <w:t>校外培训机构必须坚持和加强党的全面领导，按照党章规定建立党的组织，开展党的工作，确保党的组织和党的工作有效覆盖。凡有3名以上正式党员的，都要单独建立党组织。对不具备单独建立党组织条件的，应采取联合组建、挂靠组建、选派党建指导员、联络员或建立工会、共青团组织等途径开展党的工作，条件成熟时及时建立党组织。按照“谁主管、谁负责”的原则，明确机构党组织的隶属关系。要把党的建设有关内容写入</w:t>
      </w:r>
      <w:r>
        <w:rPr>
          <w:rFonts w:hint="eastAsia" w:ascii="仿宋_GB2312" w:hAnsi="宋体" w:eastAsia="仿宋_GB2312" w:cs="仿宋_GB2312"/>
          <w:snapToGrid w:val="0"/>
          <w:spacing w:val="0"/>
          <w:kern w:val="0"/>
          <w:sz w:val="32"/>
          <w:szCs w:val="32"/>
        </w:rPr>
        <w:t>校外培训机构章程，审批时要对章程中党的建设有关内容严格把关</w:t>
      </w:r>
      <w:r>
        <w:rPr>
          <w:rFonts w:hint="eastAsia" w:ascii="仿宋_GB2312" w:hAnsi="宋体" w:eastAsia="仿宋_GB2312" w:cs="仿宋_GB2312"/>
          <w:snapToGrid w:val="0"/>
          <w:color w:val="000000"/>
          <w:spacing w:val="0"/>
          <w:kern w:val="0"/>
          <w:sz w:val="32"/>
          <w:szCs w:val="32"/>
        </w:rPr>
        <w:t>。要推进机构党组织班子与决策层、管理层“双向进入、交叉任职”，保证党组织在重大事项决策、监督、执行各环节有效发挥作用。</w:t>
      </w:r>
    </w:p>
    <w:p w14:paraId="388D95BA">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黑体" w:hAnsi="宋体" w:eastAsia="黑体" w:cs="黑体"/>
          <w:snapToGrid w:val="0"/>
          <w:color w:val="000000"/>
          <w:spacing w:val="0"/>
          <w:kern w:val="0"/>
          <w:sz w:val="32"/>
          <w:szCs w:val="32"/>
        </w:rPr>
        <w:t>十、决策机构</w:t>
      </w:r>
    </w:p>
    <w:p w14:paraId="5141B093">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仿宋_GB2312" w:hAnsi="宋体" w:eastAsia="仿宋_GB2312" w:cs="仿宋_GB2312"/>
          <w:snapToGrid w:val="0"/>
          <w:color w:val="000000"/>
          <w:spacing w:val="0"/>
          <w:kern w:val="0"/>
          <w:sz w:val="32"/>
          <w:szCs w:val="32"/>
        </w:rPr>
        <w:t>校外培训机构应当依法设立决策机构，由举办者或其代表、党组织负责人、行政负责人、教职工代表等人员组成。三分之一以上的决策机构成员应当具有5年以上教育教学经验。有故意犯罪记录</w:t>
      </w:r>
      <w:r>
        <w:rPr>
          <w:rFonts w:hint="eastAsia" w:ascii="仿宋_GB2312" w:hAnsi="宋体" w:eastAsia="仿宋_GB2312" w:cs="仿宋_GB2312"/>
          <w:snapToGrid w:val="0"/>
          <w:spacing w:val="0"/>
          <w:kern w:val="0"/>
          <w:sz w:val="32"/>
          <w:szCs w:val="32"/>
        </w:rPr>
        <w:t>以及由国家有关行政部门认定的教育、体育和文化艺术</w:t>
      </w:r>
      <w:r>
        <w:rPr>
          <w:rFonts w:hint="eastAsia" w:ascii="仿宋_GB2312" w:hAnsi="宋体" w:eastAsia="仿宋_GB2312" w:cs="仿宋_GB2312"/>
          <w:snapToGrid w:val="0"/>
          <w:color w:val="000000"/>
          <w:spacing w:val="0"/>
          <w:kern w:val="0"/>
          <w:sz w:val="32"/>
          <w:szCs w:val="32"/>
        </w:rPr>
        <w:t>领域不良从业记录者不得在决策机构任职。</w:t>
      </w:r>
    </w:p>
    <w:p w14:paraId="3069F312">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黑体" w:hAnsi="黑体" w:eastAsia="黑体" w:cs="黑体"/>
          <w:snapToGrid w:val="0"/>
          <w:spacing w:val="0"/>
          <w:kern w:val="0"/>
          <w:sz w:val="32"/>
          <w:szCs w:val="32"/>
        </w:rPr>
      </w:pPr>
      <w:r>
        <w:rPr>
          <w:rFonts w:hint="eastAsia" w:ascii="黑体" w:hAnsi="黑体" w:eastAsia="黑体" w:cs="黑体"/>
          <w:snapToGrid w:val="0"/>
          <w:color w:val="000000"/>
          <w:spacing w:val="0"/>
          <w:kern w:val="0"/>
          <w:sz w:val="32"/>
          <w:szCs w:val="32"/>
        </w:rPr>
        <w:t>十一、监督机构</w:t>
      </w:r>
    </w:p>
    <w:p w14:paraId="7FBC000F">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应当建立监督机构，依法行使监督职权。监督机构应当有党的基层组织代表，且教职工代表不少于1/3。教职工人数少于20人的可以只设1至2名监事。决策机构组成人员及其近亲属、财务负责人不得兼任、担任监督机构成员或者监事。</w:t>
      </w:r>
    </w:p>
    <w:p w14:paraId="6440C788">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黑体" w:hAnsi="宋体" w:eastAsia="黑体" w:cs="黑体"/>
          <w:snapToGrid w:val="0"/>
          <w:color w:val="000000"/>
          <w:spacing w:val="0"/>
          <w:kern w:val="0"/>
          <w:sz w:val="32"/>
          <w:szCs w:val="32"/>
        </w:rPr>
      </w:pPr>
      <w:r>
        <w:rPr>
          <w:rFonts w:hint="eastAsia" w:ascii="黑体" w:hAnsi="宋体" w:eastAsia="黑体" w:cs="黑体"/>
          <w:snapToGrid w:val="0"/>
          <w:color w:val="000000"/>
          <w:spacing w:val="0"/>
          <w:kern w:val="0"/>
          <w:sz w:val="32"/>
          <w:szCs w:val="32"/>
        </w:rPr>
        <w:t>十二、法定代表人、行政负责人及主要管理人员</w:t>
      </w:r>
    </w:p>
    <w:p w14:paraId="62C7CDF9">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spacing w:val="0"/>
          <w:kern w:val="0"/>
          <w:sz w:val="32"/>
          <w:szCs w:val="32"/>
        </w:rPr>
      </w:pPr>
      <w:r>
        <w:rPr>
          <w:rFonts w:hint="eastAsia" w:ascii="仿宋_GB2312" w:hAnsi="宋体" w:eastAsia="仿宋_GB2312" w:cs="仿宋_GB2312"/>
          <w:snapToGrid w:val="0"/>
          <w:spacing w:val="0"/>
          <w:kern w:val="0"/>
          <w:sz w:val="32"/>
          <w:szCs w:val="32"/>
        </w:rPr>
        <w:t>校外培训机构的法定代表人应具有中华人民共和国国籍，在中国境内定居，信用状况良好，享有政治权利和具有完全民事行为能力，应当依照法律、法规、规章及机构章程的规定，由决策机构负责人或者行政负责人担任。</w:t>
      </w:r>
    </w:p>
    <w:p w14:paraId="7D625447">
      <w:pPr>
        <w:pStyle w:val="5"/>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的行政（执行）负责人应为专职，行政（执行）机构负责人应有中华人民共和国国籍，在中国境内定居，有政治权利和完全民事行为能力，信用状况良好，身体健康，大学专科及以上学历，5年以上教育管理经验，年龄不超过70周岁。</w:t>
      </w:r>
    </w:p>
    <w:p w14:paraId="20855BA7">
      <w:pPr>
        <w:pStyle w:val="5"/>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应按照相关规定，配备相应的专职教学管理人员、财务管理人员和安全管理人员，负责培训机构日常管理工作。教学管理人员应具有大学专科及以上学历和3年以上相关工作经历；财务管理人员应具有从事会计工作所需要的专业能力的会计人员，且会计和出纳不得兼任；安全管理人员应履行安全监管职责，落实安全防范措施。</w:t>
      </w:r>
    </w:p>
    <w:p w14:paraId="15D0AB10">
      <w:pPr>
        <w:pStyle w:val="5"/>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有犯罪记录以及由国家有关行政部门认定的教育、体育和文化艺术领域不良从业记录者不得担任校外培训机构的法人、行政负责人及主要管理人员。</w:t>
      </w:r>
    </w:p>
    <w:p w14:paraId="75B746E1">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黑体" w:hAnsi="宋体" w:eastAsia="黑体" w:cs="黑体"/>
          <w:snapToGrid w:val="0"/>
          <w:color w:val="000000"/>
          <w:spacing w:val="0"/>
          <w:kern w:val="0"/>
          <w:sz w:val="32"/>
          <w:szCs w:val="32"/>
        </w:rPr>
        <w:t>十三、从业人员</w:t>
      </w:r>
    </w:p>
    <w:p w14:paraId="2ED07A6E">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从业人员包括教学人员、教研人员和其他人员。从业人员应符合《教育部办公厅 人力资源社会保障部办公厅关于印发&lt;校外培训机构从业人员管理办法（试行）&gt;的通知》（教监管厅函</w:t>
      </w:r>
      <w:r>
        <w:rPr>
          <w:rFonts w:hint="eastAsia" w:ascii="仿宋_GB2312" w:hAnsi="仿宋_GB2312" w:eastAsia="仿宋_GB2312" w:cs="仿宋_GB2312"/>
          <w:snapToGrid w:val="0"/>
          <w:color w:val="000000"/>
          <w:spacing w:val="0"/>
          <w:kern w:val="0"/>
          <w:sz w:val="32"/>
          <w:szCs w:val="32"/>
        </w:rPr>
        <w:t>〔2021〕9号</w:t>
      </w:r>
      <w:r>
        <w:rPr>
          <w:rFonts w:hint="eastAsia" w:ascii="仿宋_GB2312" w:hAnsi="宋体" w:eastAsia="仿宋_GB2312" w:cs="仿宋_GB2312"/>
          <w:snapToGrid w:val="0"/>
          <w:color w:val="000000"/>
          <w:spacing w:val="0"/>
          <w:kern w:val="0"/>
          <w:sz w:val="32"/>
          <w:szCs w:val="32"/>
        </w:rPr>
        <w:t>）要求，并符合以下规定：</w:t>
      </w:r>
    </w:p>
    <w:p w14:paraId="13BCD417">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楷体_GB2312" w:hAnsi="楷体_GB2312" w:eastAsia="楷体_GB2312" w:cs="楷体_GB2312"/>
          <w:snapToGrid w:val="0"/>
          <w:color w:val="000000"/>
          <w:spacing w:val="0"/>
          <w:kern w:val="0"/>
          <w:sz w:val="32"/>
          <w:szCs w:val="32"/>
        </w:rPr>
      </w:pPr>
      <w:r>
        <w:rPr>
          <w:rFonts w:hint="eastAsia" w:ascii="楷体_GB2312" w:hAnsi="楷体_GB2312" w:eastAsia="楷体_GB2312" w:cs="楷体_GB2312"/>
          <w:snapToGrid w:val="0"/>
          <w:color w:val="000000"/>
          <w:spacing w:val="0"/>
          <w:kern w:val="0"/>
          <w:sz w:val="32"/>
          <w:szCs w:val="32"/>
        </w:rPr>
        <w:t>（一）基本要求</w:t>
      </w:r>
    </w:p>
    <w:p w14:paraId="0CD5CE6F">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所聘用的从业人员须遵守宪法和法律，热爱教育事业，具有良好的思想品德和职业道德，具备相应培训能力，身心健康。校外培训机构对聘用人员应事先开展违法犯罪信息查询，不得聘用被纳入“校外培训机构从业人员黑名单”的人员，不得聘用曾实施性侵害违法犯罪行为的人员、受到剥夺政治权利或者故意犯罪受到有期徒刑以上刑事处罚的人员，不得聘用中小学和幼儿园在职教师（含教研人员）。聘用在境内的外籍从业人员应符合国家相关法律规定并做好外籍从业人员持有资质证书的认证工作，外籍人员应持有《外国人工作许可证》、工作类居留证件等。严禁聘用在境外的外籍执教人员开展培训活动。</w:t>
      </w:r>
    </w:p>
    <w:p w14:paraId="720894AD">
      <w:pPr>
        <w:pStyle w:val="1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专兼职教学、教研人员应</w:t>
      </w:r>
      <w:r>
        <w:rPr>
          <w:rFonts w:hint="eastAsia" w:ascii="仿宋_GB2312" w:hAnsi="仿宋_GB2312" w:eastAsia="仿宋_GB2312" w:cs="仿宋_GB2312"/>
          <w:snapToGrid w:val="0"/>
          <w:color w:val="000000"/>
          <w:spacing w:val="0"/>
          <w:kern w:val="0"/>
          <w:sz w:val="32"/>
          <w:szCs w:val="32"/>
          <w:shd w:val="clear" w:color="auto" w:fill="FFFFFF"/>
        </w:rPr>
        <w:t>具备</w:t>
      </w:r>
      <w:r>
        <w:rPr>
          <w:rFonts w:hint="eastAsia" w:ascii="仿宋_GB2312" w:hAnsi="宋体" w:eastAsia="仿宋_GB2312" w:cs="仿宋_GB2312"/>
          <w:snapToGrid w:val="0"/>
          <w:color w:val="000000"/>
          <w:spacing w:val="0"/>
          <w:kern w:val="0"/>
          <w:sz w:val="32"/>
          <w:szCs w:val="32"/>
        </w:rPr>
        <w:t>下列条件之一：</w:t>
      </w:r>
    </w:p>
    <w:p w14:paraId="659B7C39">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1.</w:t>
      </w:r>
      <w:r>
        <w:rPr>
          <w:rFonts w:hint="eastAsia" w:ascii="仿宋_GB2312" w:hAnsi="宋体" w:eastAsia="仿宋_GB2312" w:cs="仿宋_GB2312"/>
          <w:snapToGrid w:val="0"/>
          <w:spacing w:val="0"/>
          <w:kern w:val="0"/>
          <w:sz w:val="32"/>
          <w:szCs w:val="32"/>
        </w:rPr>
        <w:t>体育类培训机构的教学、教研人员应具有体育类相关专业大学专科及以上学历；非体育类相关专业的教学、教研人员应具有大学专科及以上学历，</w:t>
      </w:r>
      <w:r>
        <w:rPr>
          <w:rFonts w:hint="eastAsia" w:ascii="仿宋_GB2312" w:hAnsi="宋体" w:eastAsia="仿宋_GB2312" w:cs="仿宋_GB2312"/>
          <w:snapToGrid w:val="0"/>
          <w:color w:val="000000"/>
          <w:spacing w:val="0"/>
          <w:kern w:val="0"/>
          <w:sz w:val="32"/>
          <w:szCs w:val="32"/>
        </w:rPr>
        <w:t>并持有与教学内容相对应的至少以下一种证书：（1）体育教练员职称证书；（2）社会体育指导员职业资格证书；（3）省级（含）以上单项体育协会颁发的体育技能等级证书；（4）资格证书（与教学学段相符，任教学科为体育)；（5）经省级（含）以上人力资源和社会保障部门确定的人才评价机构颁发的体育职业技能等级证书；（6）经省级（含）以上体育行政部门认定专业教学岗位的相关证书；（7）省优秀运动队、高等学校高水平运动队、体育职业俱乐部获得健将以上技术等级的运动员。</w:t>
      </w:r>
    </w:p>
    <w:p w14:paraId="72352B66">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体育类培训机构可聘请持技术等级证书的社会体育指导员开展体育志愿服务。开展高危体育项目的课外体育培训，</w:t>
      </w:r>
      <w:r>
        <w:rPr>
          <w:rFonts w:hint="eastAsia" w:ascii="仿宋_GB2312" w:hAnsi="宋体" w:eastAsia="仿宋_GB2312" w:cs="仿宋_GB2312"/>
          <w:snapToGrid w:val="0"/>
          <w:spacing w:val="0"/>
          <w:kern w:val="0"/>
          <w:sz w:val="32"/>
          <w:szCs w:val="32"/>
        </w:rPr>
        <w:t>其</w:t>
      </w:r>
      <w:r>
        <w:rPr>
          <w:rFonts w:hint="eastAsia" w:ascii="仿宋_GB2312" w:hAnsi="宋体" w:eastAsia="仿宋_GB2312" w:cs="仿宋_GB2312"/>
          <w:snapToGrid w:val="0"/>
          <w:color w:val="000000"/>
          <w:spacing w:val="0"/>
          <w:kern w:val="0"/>
          <w:sz w:val="32"/>
          <w:szCs w:val="32"/>
        </w:rPr>
        <w:t>从业人员必须具备国家规定的职业资格。</w:t>
      </w:r>
    </w:p>
    <w:p w14:paraId="2F71E998">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2.</w:t>
      </w:r>
      <w:r>
        <w:rPr>
          <w:rFonts w:hint="eastAsia" w:ascii="仿宋_GB2312" w:hAnsi="宋体" w:eastAsia="仿宋_GB2312" w:cs="仿宋_GB2312"/>
          <w:snapToGrid w:val="0"/>
          <w:spacing w:val="0"/>
          <w:kern w:val="0"/>
          <w:sz w:val="32"/>
          <w:szCs w:val="32"/>
        </w:rPr>
        <w:t>文化艺术类培训机构的教学、教研人员应具有文化艺术类相关专业大学专科及以上学历；非文化艺术相关专业的教学、教研人员应具有大学专科及以上学历，</w:t>
      </w:r>
      <w:r>
        <w:rPr>
          <w:rFonts w:hint="eastAsia" w:ascii="仿宋_GB2312" w:hAnsi="宋体" w:eastAsia="仿宋_GB2312" w:cs="仿宋_GB2312"/>
          <w:snapToGrid w:val="0"/>
          <w:color w:val="000000"/>
          <w:spacing w:val="0"/>
          <w:kern w:val="0"/>
          <w:sz w:val="32"/>
          <w:szCs w:val="32"/>
        </w:rPr>
        <w:t>并持有与教学内容相对应的至少以下一种证书：（1）具有与培训项目对应的教师资格证；（2）具有文化艺术相关专业职称；（3）具有经人力资源和社会保障部确定的人才评价机构颁发的文化艺术职业技能等级证书；（4）具有经省级（含）以上文化艺术行政部门认定专业教学岗位的相关证书。</w:t>
      </w:r>
    </w:p>
    <w:p w14:paraId="403FC358">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3.各类助学自考培训机构聘用教师应具备大学本科及以上学历，持有与教学内容相对应的教师资格或职业资格证书或职业技能等级证书。</w:t>
      </w:r>
    </w:p>
    <w:p w14:paraId="7C789BB8">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楷体_GB2312" w:hAnsi="楷体_GB2312" w:eastAsia="楷体_GB2312" w:cs="楷体_GB2312"/>
          <w:snapToGrid w:val="0"/>
          <w:color w:val="000000"/>
          <w:spacing w:val="0"/>
          <w:kern w:val="0"/>
          <w:sz w:val="32"/>
          <w:szCs w:val="32"/>
        </w:rPr>
      </w:pPr>
      <w:r>
        <w:rPr>
          <w:rFonts w:hint="eastAsia" w:ascii="楷体_GB2312" w:hAnsi="楷体_GB2312" w:eastAsia="楷体_GB2312" w:cs="楷体_GB2312"/>
          <w:snapToGrid w:val="0"/>
          <w:color w:val="000000"/>
          <w:spacing w:val="0"/>
          <w:kern w:val="0"/>
          <w:sz w:val="32"/>
          <w:szCs w:val="32"/>
        </w:rPr>
        <w:t>（二）人员配备</w:t>
      </w:r>
    </w:p>
    <w:p w14:paraId="151BC45D">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应根据所开设培训项目及规模，配备结构合理、数量充足的专兼职教学人员，其中，签订一年以上劳动合同的专职教学、教研人员原则上数量不得少于从业人员总数的50%。面向中小学生的线下文化艺术类培训，每班次专职教学人员原则上不低于学生人数的2%，现有面向3周岁以上学龄前儿童的培训，每班次专职培训人员原则上不低于儿童人数的6%。面向中小学生的线下</w:t>
      </w:r>
      <w:r>
        <w:rPr>
          <w:rFonts w:hint="eastAsia" w:ascii="仿宋_GB2312" w:hAnsi="仿宋_GB2312" w:eastAsia="仿宋_GB2312" w:cs="仿宋_GB2312"/>
          <w:snapToGrid w:val="0"/>
          <w:color w:val="000000"/>
          <w:spacing w:val="0"/>
          <w:kern w:val="0"/>
          <w:sz w:val="32"/>
          <w:szCs w:val="32"/>
          <w:shd w:val="clear" w:color="auto" w:fill="FFFFFF"/>
        </w:rPr>
        <w:t>体育类培训机构要按照培训项目特点和培训规模控制学员与执教人员配比，每班次培训的学员人数原则上不超过35人，超过10名学员的培训至少配有2名执教人员。</w:t>
      </w:r>
    </w:p>
    <w:p w14:paraId="34179608">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楷体_GB2312" w:hAnsi="楷体_GB2312" w:eastAsia="楷体_GB2312" w:cs="楷体_GB2312"/>
          <w:snapToGrid w:val="0"/>
          <w:color w:val="000000"/>
          <w:spacing w:val="0"/>
          <w:kern w:val="0"/>
          <w:sz w:val="32"/>
          <w:szCs w:val="32"/>
        </w:rPr>
      </w:pPr>
      <w:r>
        <w:rPr>
          <w:rFonts w:hint="eastAsia" w:ascii="楷体_GB2312" w:hAnsi="楷体_GB2312" w:eastAsia="楷体_GB2312" w:cs="楷体_GB2312"/>
          <w:snapToGrid w:val="0"/>
          <w:color w:val="000000"/>
          <w:spacing w:val="0"/>
          <w:kern w:val="0"/>
          <w:sz w:val="32"/>
          <w:szCs w:val="32"/>
        </w:rPr>
        <w:t>（三）人员管理</w:t>
      </w:r>
    </w:p>
    <w:p w14:paraId="752769C6">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校外培训机构应与聘用的从业人员依法签订劳动合同，缴纳社会保险，保障其工资、福利待遇和其他合法权益。对初次聘用人员，应开展岗前培训。</w:t>
      </w:r>
    </w:p>
    <w:p w14:paraId="4F7952D3">
      <w:pPr>
        <w:pStyle w:val="5"/>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教学、教研人员的基本信息（姓名、照片等）、教师资格、从教经历、任教课程等信息应在机构培训场所及平台、网站显著位置公示，并于一个月内在全国统一监管平台备案。其他从业人员信息应在机构内部进行公示。</w:t>
      </w:r>
    </w:p>
    <w:p w14:paraId="597BC4D2">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校外培训机构应加强对所聘用从业人员培训行为的全过程管理监督，维护学员人身财产安全，保障学员合法权益，坚决杜绝在培训期间侵犯未成年人身心健康等违法犯罪行为的发生。</w:t>
      </w:r>
    </w:p>
    <w:p w14:paraId="7C62D0C7">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黑体" w:hAnsi="宋体" w:eastAsia="黑体" w:cs="黑体"/>
          <w:snapToGrid w:val="0"/>
          <w:color w:val="000000"/>
          <w:spacing w:val="0"/>
          <w:kern w:val="0"/>
          <w:sz w:val="32"/>
          <w:szCs w:val="32"/>
        </w:rPr>
        <w:t>十四、设立审批</w:t>
      </w:r>
    </w:p>
    <w:p w14:paraId="42BCAE9B">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spacing w:val="0"/>
          <w:kern w:val="0"/>
          <w:sz w:val="32"/>
          <w:szCs w:val="32"/>
        </w:rPr>
      </w:pPr>
      <w:r>
        <w:rPr>
          <w:rFonts w:hint="eastAsia" w:ascii="仿宋_GB2312" w:hAnsi="宋体" w:eastAsia="仿宋_GB2312" w:cs="仿宋_GB2312"/>
          <w:snapToGrid w:val="0"/>
          <w:spacing w:val="0"/>
          <w:kern w:val="0"/>
          <w:sz w:val="32"/>
          <w:szCs w:val="32"/>
        </w:rPr>
        <w:t>校外培训机构审批登记实行属地管理，由区县行政审批部门负责。审批机关受理申请后，应当认真审核申报材料，根据办学内容书面征得同级教育和体育、文化旅游部门同意后，再组织教育和体育、文化旅游、消防、公安等部门专业人员进行现场查验并提出意见，符合审批条件的，由审批机关颁发办学许可证后，依法办理法人登记手续。审批机关完成审批后，审批信息和结果应根据办学内容分别向教育和体育、文化旅游等部门推送。</w:t>
      </w:r>
    </w:p>
    <w:p w14:paraId="14F0A3B9">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spacing w:val="0"/>
          <w:kern w:val="0"/>
          <w:sz w:val="32"/>
          <w:szCs w:val="32"/>
        </w:rPr>
      </w:pPr>
      <w:r>
        <w:rPr>
          <w:rFonts w:hint="eastAsia" w:ascii="仿宋_GB2312" w:hAnsi="宋体" w:eastAsia="仿宋_GB2312" w:cs="仿宋_GB2312"/>
          <w:snapToGrid w:val="0"/>
          <w:spacing w:val="0"/>
          <w:kern w:val="0"/>
          <w:sz w:val="32"/>
          <w:szCs w:val="32"/>
        </w:rPr>
        <w:t>实行“一点一证”，一个固定且独立使用的场所（地）只能申办设立一个校外培训机构，办理一个办学许可证。未经审批部门同意不得擅自变更校外培训机构地址。非营利性校外培训机构不得设立分支机构。营利性校外培训机构在同一县域设立分支机构，需经过原审批机关批准；跨县域设立分支机构的，需要经过分支机构所在地审批机关审批，并到原行业主管部门备案。</w:t>
      </w:r>
    </w:p>
    <w:p w14:paraId="3ED9B4A8">
      <w:pPr>
        <w:pStyle w:val="1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snapToGrid w:val="0"/>
          <w:spacing w:val="0"/>
          <w:kern w:val="0"/>
          <w:sz w:val="32"/>
          <w:szCs w:val="32"/>
        </w:rPr>
      </w:pPr>
      <w:r>
        <w:rPr>
          <w:rFonts w:hint="eastAsia" w:ascii="仿宋_GB2312" w:hAnsi="宋体" w:eastAsia="仿宋_GB2312" w:cs="仿宋_GB2312"/>
          <w:snapToGrid w:val="0"/>
          <w:spacing w:val="0"/>
          <w:kern w:val="0"/>
          <w:sz w:val="32"/>
          <w:szCs w:val="32"/>
        </w:rPr>
        <w:t>不再审批登记新的面向义务教育阶段学生的学科类校外培训机构，不再审批新的面向3至6岁学龄前儿童的校外培训机构和面向普通高中学生的学科类校外培训机构，不再审批新的寄宿制</w:t>
      </w:r>
      <w:r>
        <w:rPr>
          <w:rFonts w:hint="eastAsia" w:ascii="仿宋_GB2312" w:hAnsi="仿宋_GB2312" w:eastAsia="仿宋_GB2312" w:cs="仿宋_GB2312"/>
          <w:snapToGrid w:val="0"/>
          <w:spacing w:val="0"/>
          <w:kern w:val="0"/>
          <w:sz w:val="32"/>
          <w:szCs w:val="32"/>
        </w:rPr>
        <w:t>校外培训机构。</w:t>
      </w:r>
      <w:r>
        <w:rPr>
          <w:rFonts w:hint="eastAsia" w:ascii="仿宋_GB2312" w:hAnsi="宋体" w:eastAsia="仿宋_GB2312" w:cs="仿宋_GB2312"/>
          <w:snapToGrid w:val="0"/>
          <w:spacing w:val="0"/>
          <w:kern w:val="0"/>
          <w:sz w:val="32"/>
          <w:szCs w:val="32"/>
        </w:rPr>
        <w:t>原有此类校外培训机构的变更事项参照本规定执行。</w:t>
      </w:r>
    </w:p>
    <w:p w14:paraId="1F7A6870">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黑体" w:hAnsi="宋体" w:eastAsia="黑体" w:cs="黑体"/>
          <w:snapToGrid w:val="0"/>
          <w:color w:val="000000"/>
          <w:spacing w:val="0"/>
          <w:kern w:val="0"/>
          <w:sz w:val="32"/>
          <w:szCs w:val="32"/>
        </w:rPr>
        <w:t>十五、安全管理</w:t>
      </w:r>
    </w:p>
    <w:p w14:paraId="1A4793C0">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firstLine="628" w:firstLineChars="200"/>
        <w:textAlignment w:val="auto"/>
        <w:rPr>
          <w:rFonts w:ascii="仿宋_GB2312" w:eastAsia="仿宋_GB2312" w:cs="仿宋_GB2312"/>
          <w:snapToGrid w:val="0"/>
          <w:color w:val="000000"/>
          <w:spacing w:val="0"/>
          <w:kern w:val="0"/>
          <w:sz w:val="32"/>
          <w:szCs w:val="32"/>
        </w:rPr>
      </w:pPr>
      <w:r>
        <w:rPr>
          <w:rFonts w:hint="eastAsia" w:ascii="仿宋_GB2312" w:eastAsia="仿宋_GB2312" w:cs="仿宋_GB2312"/>
          <w:snapToGrid w:val="0"/>
          <w:color w:val="000000"/>
          <w:spacing w:val="0"/>
          <w:kern w:val="0"/>
          <w:sz w:val="32"/>
          <w:szCs w:val="32"/>
        </w:rPr>
        <w:t>校外培训机构举办者是机构安全管理第一责任人，负责落实安全防范措施，明确安全工作职责，防范各类安全责任事故发生。校外培训机构应依法落实消防安全主体责任，建立“人防、物防、技防”三位一体安全防范体系。消防安全管理应符合《人员密集场地消防安全管理》（GB/T40248-2021）、《校外培训机构消防安全管理九项规定》要求。校外培训机构应将各类安全制度、安全注意事项和特殊要求、平面示意图及疏散通道指示图、</w:t>
      </w:r>
      <w:r>
        <w:rPr>
          <w:rFonts w:hint="eastAsia" w:ascii="仿宋_GB2312" w:eastAsia="仿宋_GB2312" w:cs="仿宋_GB2312"/>
          <w:snapToGrid w:val="0"/>
          <w:spacing w:val="0"/>
          <w:kern w:val="0"/>
          <w:sz w:val="32"/>
          <w:szCs w:val="32"/>
        </w:rPr>
        <w:t>《消防安全承诺书》</w:t>
      </w:r>
      <w:r>
        <w:rPr>
          <w:rFonts w:hint="eastAsia" w:ascii="仿宋_GB2312" w:eastAsia="仿宋_GB2312" w:cs="仿宋_GB2312"/>
          <w:snapToGrid w:val="0"/>
          <w:color w:val="000000"/>
          <w:spacing w:val="0"/>
          <w:kern w:val="0"/>
          <w:sz w:val="32"/>
          <w:szCs w:val="32"/>
        </w:rPr>
        <w:t>等悬挂在明显位置，要设置醒目的安全指示标志，并确保安全疏散通道畅通。校外培训机构应对从业人员进行设施操作、消防安全、应急救护等方面培训，制定意外突发状况应急处置程序，并每年至少组织2次演练。</w:t>
      </w:r>
    </w:p>
    <w:p w14:paraId="18B416E6">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firstLine="628" w:firstLineChars="200"/>
        <w:textAlignment w:val="auto"/>
        <w:rPr>
          <w:rFonts w:ascii="仿宋_GB2312" w:eastAsia="仿宋_GB2312" w:cs="仿宋_GB2312"/>
          <w:snapToGrid w:val="0"/>
          <w:color w:val="000000"/>
          <w:spacing w:val="0"/>
          <w:kern w:val="0"/>
          <w:sz w:val="32"/>
          <w:szCs w:val="32"/>
        </w:rPr>
      </w:pPr>
      <w:r>
        <w:rPr>
          <w:rFonts w:hint="eastAsia" w:ascii="仿宋_GB2312" w:eastAsia="仿宋_GB2312" w:cs="仿宋_GB2312"/>
          <w:snapToGrid w:val="0"/>
          <w:color w:val="000000"/>
          <w:spacing w:val="0"/>
          <w:kern w:val="0"/>
          <w:sz w:val="32"/>
          <w:szCs w:val="32"/>
        </w:rPr>
        <w:t>校外培训机构应对所使用房屋和设施加强监督和管理，配合政府职能部门定期对房屋安全、教育教学设施、生活设施及其他附属设施开展安全风险评估，确保安全、环保、质量可靠。</w:t>
      </w:r>
    </w:p>
    <w:p w14:paraId="78A737A7">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仿宋_GB2312" w:eastAsia="仿宋_GB2312" w:cs="仿宋_GB2312"/>
          <w:snapToGrid w:val="0"/>
          <w:color w:val="000000"/>
          <w:spacing w:val="0"/>
          <w:kern w:val="0"/>
          <w:sz w:val="32"/>
          <w:szCs w:val="32"/>
          <w:highlight w:val="cyan"/>
          <w:shd w:val="clear" w:color="auto" w:fill="FFFFFF"/>
        </w:rPr>
      </w:pPr>
      <w:r>
        <w:rPr>
          <w:rFonts w:hint="eastAsia" w:ascii="仿宋_GB2312" w:hAnsi="宋体" w:eastAsia="仿宋_GB2312" w:cs="仿宋_GB2312"/>
          <w:snapToGrid w:val="0"/>
          <w:spacing w:val="0"/>
          <w:kern w:val="0"/>
          <w:sz w:val="32"/>
          <w:szCs w:val="32"/>
        </w:rPr>
        <w:t>校外培训机构师生员工人数少于100人的至少配备1名专（兼）职安保人员；100人（含）以上1000人以下的至少配备2名专（兼）职安保人员；超过1000人（含）的，每增加500名学生增配1名专（兼）职安保人员。安保人员应掌握治安、消防、防暴等常识和相关法律法规，熟练使用通信、治安和消防器材。</w:t>
      </w:r>
    </w:p>
    <w:p w14:paraId="3C56CFAC">
      <w:pPr>
        <w:pStyle w:val="1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rFonts w:ascii="仿宋_GB2312" w:hAnsi="仿宋_GB2312" w:eastAsia="仿宋_GB2312" w:cs="仿宋_GB2312"/>
          <w:snapToGrid w:val="0"/>
          <w:color w:val="000000"/>
          <w:spacing w:val="0"/>
          <w:kern w:val="0"/>
          <w:sz w:val="32"/>
          <w:szCs w:val="32"/>
          <w:shd w:val="clear" w:color="auto" w:fill="FFFFFF"/>
        </w:rPr>
      </w:pPr>
      <w:r>
        <w:rPr>
          <w:rFonts w:hint="eastAsia" w:ascii="仿宋_GB2312" w:hAnsi="仿宋_GB2312" w:eastAsia="仿宋_GB2312" w:cs="仿宋_GB2312"/>
          <w:snapToGrid w:val="0"/>
          <w:color w:val="000000"/>
          <w:spacing w:val="0"/>
          <w:kern w:val="0"/>
          <w:sz w:val="32"/>
          <w:szCs w:val="32"/>
          <w:shd w:val="clear" w:color="auto" w:fill="FFFFFF"/>
        </w:rPr>
        <w:t>鼓励培训机构购买经营场所责任险。鼓励培训机构为参加培训人员购买人身意外险。</w:t>
      </w:r>
    </w:p>
    <w:p w14:paraId="0DCF68AB">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黑体" w:hAnsi="宋体" w:eastAsia="黑体" w:cs="黑体"/>
          <w:snapToGrid w:val="0"/>
          <w:color w:val="000000"/>
          <w:spacing w:val="0"/>
          <w:kern w:val="0"/>
          <w:sz w:val="32"/>
          <w:szCs w:val="32"/>
        </w:rPr>
        <w:t>十六、招生管理</w:t>
      </w:r>
    </w:p>
    <w:p w14:paraId="33B5D2C8">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firstLine="628" w:firstLineChars="200"/>
        <w:textAlignment w:val="auto"/>
        <w:rPr>
          <w:rFonts w:ascii="仿宋_GB2312" w:eastAsia="仿宋_GB2312" w:cs="仿宋_GB2312"/>
          <w:snapToGrid w:val="0"/>
          <w:color w:val="000000"/>
          <w:spacing w:val="0"/>
          <w:kern w:val="0"/>
          <w:sz w:val="32"/>
          <w:szCs w:val="32"/>
        </w:rPr>
      </w:pPr>
      <w:r>
        <w:rPr>
          <w:rFonts w:hint="eastAsia" w:ascii="仿宋_GB2312" w:eastAsia="仿宋_GB2312" w:cs="仿宋_GB2312"/>
          <w:snapToGrid w:val="0"/>
          <w:color w:val="000000"/>
          <w:spacing w:val="0"/>
          <w:kern w:val="0"/>
          <w:sz w:val="32"/>
          <w:szCs w:val="32"/>
        </w:rPr>
        <w:t>校外培训机构的招生简章应当明确机构全称、招生对象、培训地址、学习形式与时限、收费项目与标准等内容，报区县级教育行政部门备案并向社会公示。</w:t>
      </w:r>
    </w:p>
    <w:p w14:paraId="435A4EC1">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firstLine="628" w:firstLineChars="200"/>
        <w:textAlignment w:val="auto"/>
        <w:rPr>
          <w:rFonts w:ascii="仿宋_GB2312" w:eastAsia="仿宋_GB2312" w:cs="仿宋_GB2312"/>
          <w:snapToGrid w:val="0"/>
          <w:spacing w:val="0"/>
          <w:kern w:val="0"/>
          <w:sz w:val="32"/>
          <w:szCs w:val="32"/>
        </w:rPr>
      </w:pPr>
      <w:r>
        <w:rPr>
          <w:rFonts w:hint="eastAsia" w:ascii="仿宋_GB2312" w:eastAsia="仿宋_GB2312" w:cs="仿宋_GB2312"/>
          <w:snapToGrid w:val="0"/>
          <w:color w:val="000000"/>
          <w:spacing w:val="0"/>
          <w:kern w:val="0"/>
          <w:sz w:val="32"/>
          <w:szCs w:val="32"/>
        </w:rPr>
        <w:t>校外培训机构在招生过程中，不得发布虚假招生简章和广告，不得夸大培训效果，不得以任何形式到中小学和幼儿园校园内或者学校周边进行招生宣传或者发放招生广告，不得以暴力、威胁等手段强迫学生接受培训。</w:t>
      </w:r>
      <w:r>
        <w:rPr>
          <w:rFonts w:hint="eastAsia" w:ascii="仿宋_GB2312" w:hAnsi="仿宋_GB2312" w:eastAsia="仿宋_GB2312" w:cs="仿宋_GB2312"/>
          <w:snapToGrid w:val="0"/>
          <w:spacing w:val="0"/>
          <w:kern w:val="0"/>
          <w:sz w:val="32"/>
          <w:szCs w:val="32"/>
        </w:rPr>
        <w:t>不得招收寄宿学生，也不得提供或变相提供食宿服务。</w:t>
      </w:r>
    </w:p>
    <w:p w14:paraId="3689A3C4">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黑体" w:hAnsi="宋体" w:eastAsia="黑体" w:cs="黑体"/>
          <w:snapToGrid w:val="0"/>
          <w:color w:val="000000"/>
          <w:spacing w:val="0"/>
          <w:kern w:val="0"/>
          <w:sz w:val="32"/>
          <w:szCs w:val="32"/>
        </w:rPr>
      </w:pPr>
      <w:r>
        <w:rPr>
          <w:rFonts w:hint="eastAsia" w:ascii="黑体" w:hAnsi="宋体" w:eastAsia="黑体" w:cs="黑体"/>
          <w:snapToGrid w:val="0"/>
          <w:color w:val="000000"/>
          <w:spacing w:val="0"/>
          <w:kern w:val="0"/>
          <w:sz w:val="32"/>
          <w:szCs w:val="32"/>
        </w:rPr>
        <w:t>十七、资金监管</w:t>
      </w:r>
    </w:p>
    <w:p w14:paraId="5F2655B1">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spacing w:val="0"/>
          <w:kern w:val="0"/>
          <w:sz w:val="32"/>
          <w:szCs w:val="32"/>
        </w:rPr>
      </w:pPr>
      <w:r>
        <w:rPr>
          <w:rFonts w:hint="eastAsia" w:ascii="仿宋_GB2312" w:hAnsi="宋体" w:eastAsia="仿宋_GB2312" w:cs="仿宋_GB2312"/>
          <w:snapToGrid w:val="0"/>
          <w:color w:val="000000"/>
          <w:spacing w:val="0"/>
          <w:kern w:val="0"/>
          <w:sz w:val="32"/>
          <w:szCs w:val="32"/>
        </w:rPr>
        <w:t>校外培训机构应主动接受主管部门的预收费监管措施，到符合条件的银行签订托管协议并报属地教育行政部门备案，开立预收费资金托管专用账户。在预收费资金托管专用账户存入</w:t>
      </w:r>
      <w:r>
        <w:rPr>
          <w:rFonts w:hint="eastAsia" w:ascii="仿宋_GB2312" w:hAnsi="宋体" w:eastAsia="仿宋_GB2312" w:cs="仿宋_GB2312"/>
          <w:snapToGrid w:val="0"/>
          <w:spacing w:val="0"/>
          <w:kern w:val="0"/>
          <w:sz w:val="32"/>
          <w:szCs w:val="32"/>
        </w:rPr>
        <w:t>5万元</w:t>
      </w:r>
      <w:r>
        <w:rPr>
          <w:rFonts w:hint="eastAsia" w:ascii="仿宋_GB2312" w:hAnsi="宋体" w:eastAsia="仿宋_GB2312" w:cs="仿宋_GB2312"/>
          <w:snapToGrid w:val="0"/>
          <w:color w:val="000000"/>
          <w:spacing w:val="0"/>
          <w:kern w:val="0"/>
          <w:sz w:val="32"/>
          <w:szCs w:val="32"/>
        </w:rPr>
        <w:t>风险保证金，作为其履行培训服务承诺和退费的资金保证，不得用保证金进行融资担保。</w:t>
      </w:r>
      <w:r>
        <w:rPr>
          <w:rFonts w:hint="eastAsia" w:ascii="仿宋_GB2312" w:hAnsi="宋体" w:eastAsia="仿宋_GB2312" w:cs="仿宋_GB2312"/>
          <w:snapToGrid w:val="0"/>
          <w:spacing w:val="0"/>
          <w:kern w:val="0"/>
          <w:sz w:val="32"/>
          <w:szCs w:val="32"/>
        </w:rPr>
        <w:t>一年后，保证金额度和监管要求由属地教育行政部门确定，实行动态调整，最低额度不得低于培训机构收取的所有学员单个收费周期（3个月）的费用总金额。</w:t>
      </w:r>
    </w:p>
    <w:p w14:paraId="1F3866B5">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应在属地教育行政部门指导下，及时将本机构信息主动录入全国校外教育培训监管与服务综合平台，按要求在该平台合规运营，逐步实现全流程监管。面向中小学生的校外培训机构应做到全部预收费“应托管、尽托管”。按照“一课一销”原则，在每次授课完成后拨付相应数额的预收费资金，或按照与授课进度同步、同比例的原则进行资金拨付。</w:t>
      </w:r>
    </w:p>
    <w:p w14:paraId="40132BA9">
      <w:pPr>
        <w:pStyle w:val="2"/>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rPr>
      </w:pPr>
      <w:r>
        <w:rPr>
          <w:rFonts w:hint="eastAsia" w:hAnsi="宋体" w:cs="仿宋_GB2312"/>
          <w:snapToGrid w:val="0"/>
          <w:spacing w:val="0"/>
          <w:kern w:val="0"/>
          <w:szCs w:val="32"/>
        </w:rPr>
        <w:t>校外培训机构应将收费标准和退费办法在醒目位置公示，不得一次性收取或以充值、次卡等形式变相收取时间跨度超过3个月或60课时的费用，且不得超过5000元。</w:t>
      </w:r>
    </w:p>
    <w:p w14:paraId="06C673FD">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rPr>
      </w:pPr>
      <w:r>
        <w:rPr>
          <w:rFonts w:hint="eastAsia" w:ascii="黑体" w:hAnsi="宋体" w:eastAsia="黑体" w:cs="黑体"/>
          <w:snapToGrid w:val="0"/>
          <w:color w:val="000000"/>
          <w:spacing w:val="0"/>
          <w:kern w:val="0"/>
          <w:sz w:val="32"/>
          <w:szCs w:val="32"/>
        </w:rPr>
        <w:t>十八、培训内容与计划</w:t>
      </w:r>
    </w:p>
    <w:p w14:paraId="3576B88C">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培训业务范围应当与办学许可事项相匹配，培训课程应与培训对象的年龄、身体状况、认知能力等相匹配，具备科学、完整的课程体系和内容。课程内容应以社会主义核心价值观为引领，符合党的教育方针和立德树人根本要求，不得违背教育规律和学生身心发展规律。不得开设危害人身安全、社会公共安全及违背公序良俗的课程内容。</w:t>
      </w:r>
    </w:p>
    <w:p w14:paraId="2384FCE4">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仿宋_GB2312" w:hAnsi="宋体" w:eastAsia="仿宋_GB2312" w:cs="仿宋_GB2312"/>
          <w:snapToGrid w:val="0"/>
          <w:spacing w:val="0"/>
          <w:kern w:val="0"/>
          <w:sz w:val="32"/>
          <w:szCs w:val="32"/>
        </w:rPr>
        <w:t>校外培训机构应制订与课程标准相配套的课程和教学计划，培训材料可选用正式出版物或自主编写的的学习材料。正式出版的培训材料，在校外培训机构招生简介、网站平台上予以公示。自主编写培训材料应当体现国家和民族基本价值观，面向中小学生的培训材料应符合《教育部办公厅关于印发&lt;中小学生校外培训材料管理办法（试行）&gt;的通知》（教监管厅函</w:t>
      </w:r>
      <w:r>
        <w:rPr>
          <w:rFonts w:hint="eastAsia" w:ascii="仿宋_GB2312" w:hAnsi="仿宋_GB2312" w:eastAsia="仿宋_GB2312" w:cs="仿宋_GB2312"/>
          <w:snapToGrid w:val="0"/>
          <w:spacing w:val="0"/>
          <w:kern w:val="0"/>
          <w:sz w:val="32"/>
          <w:szCs w:val="32"/>
        </w:rPr>
        <w:t>〔2021〕6号</w:t>
      </w:r>
      <w:r>
        <w:rPr>
          <w:rFonts w:hint="eastAsia" w:ascii="仿宋_GB2312" w:hAnsi="宋体" w:eastAsia="仿宋_GB2312" w:cs="仿宋_GB2312"/>
          <w:snapToGrid w:val="0"/>
          <w:spacing w:val="0"/>
          <w:kern w:val="0"/>
          <w:sz w:val="32"/>
          <w:szCs w:val="32"/>
        </w:rPr>
        <w:t>）的相关规定。</w:t>
      </w:r>
    </w:p>
    <w:p w14:paraId="2F9E95B6">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黑体" w:hAnsi="宋体" w:eastAsia="黑体" w:cs="黑体"/>
          <w:snapToGrid w:val="0"/>
          <w:color w:val="000000"/>
          <w:spacing w:val="0"/>
          <w:kern w:val="0"/>
          <w:sz w:val="32"/>
          <w:szCs w:val="32"/>
        </w:rPr>
        <w:t>十九、附则</w:t>
      </w:r>
    </w:p>
    <w:p w14:paraId="700F1BC6">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教育</w:t>
      </w:r>
      <w:r>
        <w:rPr>
          <w:rFonts w:hint="eastAsia" w:ascii="仿宋_GB2312" w:hAnsi="宋体" w:eastAsia="仿宋_GB2312" w:cs="仿宋_GB2312"/>
          <w:snapToGrid w:val="0"/>
          <w:spacing w:val="0"/>
          <w:kern w:val="0"/>
          <w:sz w:val="32"/>
          <w:szCs w:val="32"/>
        </w:rPr>
        <w:t>、</w:t>
      </w:r>
      <w:r>
        <w:rPr>
          <w:rFonts w:hint="eastAsia" w:ascii="仿宋_GB2312" w:hAnsi="宋体" w:eastAsia="仿宋_GB2312" w:cs="仿宋_GB2312"/>
          <w:snapToGrid w:val="0"/>
          <w:color w:val="000000"/>
          <w:spacing w:val="0"/>
          <w:kern w:val="0"/>
          <w:sz w:val="32"/>
          <w:szCs w:val="32"/>
        </w:rPr>
        <w:t>体育和文化旅游等行政部门应当加强相应类别校外培训机构的检查，依法开展日常检查、随机抽查、专项检查和年度检查，会同有关行政管理部门对校外培训机构实施信用管理。行政检查、行政处罚等监管信息应与行政审批部门共享。</w:t>
      </w:r>
    </w:p>
    <w:p w14:paraId="6AC1170A">
      <w:pPr>
        <w:pStyle w:val="2"/>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rPr>
      </w:pPr>
      <w:r>
        <w:rPr>
          <w:rFonts w:hint="eastAsia" w:hAnsi="宋体" w:cs="仿宋_GB2312"/>
          <w:snapToGrid w:val="0"/>
          <w:color w:val="000000"/>
          <w:spacing w:val="0"/>
          <w:kern w:val="0"/>
          <w:szCs w:val="32"/>
        </w:rPr>
        <w:t>科技类校外培训机构的设置标准，按照山东省教育厅和山东省科技厅联合印发的有关文件执行。</w:t>
      </w:r>
    </w:p>
    <w:p w14:paraId="2E5F1B2B">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本规定未尽事宜，国家和省级文件关于规范校外培训机构设置标准另有规定的，从其规定。</w:t>
      </w:r>
    </w:p>
    <w:p w14:paraId="21869E5B">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hint="eastAsia"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本标准自2024年11月15日起施行，有效期至2027年11月14日。2018年11月27日济南市教育局印发的《济南市校外培训机构设置标准》同时废止。</w:t>
      </w:r>
    </w:p>
    <w:p w14:paraId="07B290FA">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25514C14">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4B69FC1D">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13528D77">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30539C9B">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534CD356">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0A529572">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0CC4CB15">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377D07C1">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082C6BFF">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bookmarkEnd w:id="1"/>
    <w:p w14:paraId="2AA8CB30">
      <w:pPr>
        <w:pStyle w:val="2"/>
        <w:ind w:left="0" w:leftChars="0" w:firstLine="0" w:firstLineChars="0"/>
        <w:rPr>
          <w:rFonts w:hint="eastAsia"/>
        </w:rPr>
      </w:pPr>
      <w:bookmarkStart w:id="7" w:name="_GoBack"/>
      <w:bookmarkEnd w:id="7"/>
    </w:p>
    <w:p w14:paraId="53378DB6">
      <w:pPr>
        <w:adjustRightInd w:val="0"/>
        <w:snapToGrid w:val="0"/>
        <w:rPr>
          <w:rFonts w:hint="eastAsia" w:ascii="方正宋三简体" w:hAnsi="黑体" w:eastAsia="方正宋三简体"/>
          <w:color w:val="000000"/>
          <w:sz w:val="20"/>
          <w:szCs w:val="20"/>
        </w:rPr>
      </w:pPr>
    </w:p>
    <w:p w14:paraId="3516A854">
      <w:pPr>
        <w:tabs>
          <w:tab w:val="left" w:pos="9020"/>
        </w:tabs>
        <w:adjustRightInd w:val="0"/>
        <w:snapToGrid w:val="0"/>
        <w:spacing w:line="580" w:lineRule="exact"/>
        <w:ind w:left="314" w:leftChars="100" w:right="314" w:rightChars="100"/>
        <w:rPr>
          <w:rFonts w:hint="eastAsia" w:ascii="仿宋_GB2312" w:hAnsi="仿宋" w:cs="仿宋"/>
          <w:color w:val="000000"/>
        </w:rPr>
      </w:pPr>
      <w:r>
        <w:rPr>
          <w:rFonts w:hint="eastAsia" w:ascii="仿宋_GB2312"/>
          <w:color w:val="000000"/>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31115</wp:posOffset>
                </wp:positionV>
                <wp:extent cx="5615940" cy="0"/>
                <wp:effectExtent l="0" t="0" r="0" b="0"/>
                <wp:wrapNone/>
                <wp:docPr id="32" name="直线 10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7" o:spid="_x0000_s1026" o:spt="20" style="position:absolute;left:0pt;margin-top:2.45pt;height:0pt;width:442.2pt;mso-position-horizontal:center;z-index:251661312;mso-width-relative:page;mso-height-relative:page;" filled="f" stroked="t" coordsize="21600,21600" o:gfxdata="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iNOO0gAA&#10;AAQBAAAPAAAAAAAAAAEAIAAAACIAAABkcnMvZG93bnJldi54bWxQSwECFAAUAAAACACHTuJAqLVk&#10;g+sBAADeAwAADgAAAAAAAAABACAAAAAhAQAAZHJzL2Uyb0RvYy54bWxQSwUGAAAAAAYABgBZAQAA&#10;fgUAAAAA&#10;">
                <v:fill on="f" focussize="0,0"/>
                <v:stroke color="#000000" joinstyle="round"/>
                <v:imagedata o:title=""/>
                <o:lock v:ext="edit" aspectratio="f"/>
              </v:line>
            </w:pict>
          </mc:Fallback>
        </mc:AlternateContent>
      </w:r>
      <w:r>
        <w:rPr>
          <w:rFonts w:hint="eastAsia" w:ascii="仿宋_GB2312"/>
          <w:color w:val="00000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427355</wp:posOffset>
                </wp:positionV>
                <wp:extent cx="5615940" cy="0"/>
                <wp:effectExtent l="0" t="0" r="0" b="0"/>
                <wp:wrapNone/>
                <wp:docPr id="33" name="直线 108"/>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8" o:spid="_x0000_s1026" o:spt="20" style="position:absolute;left:0pt;margin-top:33.65pt;height:0pt;width:442.2pt;mso-position-horizontal:center;z-index:251660288;mso-width-relative:page;mso-height-relative:page;" filled="f" stroked="t" coordsize="21600,21600" o:gfxdata="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VTKg&#10;1AAAAAYBAAAPAAAAAAAAAAEAIAAAACIAAABkcnMvZG93bnJldi54bWxQSwECFAAUAAAACACHTuJA&#10;Kvaqp+wBAADeAwAADgAAAAAAAAABACAAAAAjAQAAZHJzL2Uyb0RvYy54bWxQSwUGAAAAAAYABgBZ&#10;AQAAgQUAAAAA&#10;">
                <v:fill on="f" focussize="0,0"/>
                <v:stroke color="#000000" joinstyle="round"/>
                <v:imagedata o:title=""/>
                <o:lock v:ext="edit" aspectratio="f"/>
              </v:line>
            </w:pict>
          </mc:Fallback>
        </mc:AlternateContent>
      </w:r>
      <w:r>
        <w:rPr>
          <w:rFonts w:hint="eastAsia" w:ascii="仿宋_GB2312" w:hAnsi="仿宋"/>
          <w:color w:val="000000"/>
          <w:sz w:val="28"/>
          <w:szCs w:val="28"/>
        </w:rPr>
        <w:t xml:space="preserve">济南市教育局办公室            </w:t>
      </w:r>
      <w:r>
        <w:rPr>
          <w:rFonts w:hint="eastAsia" w:ascii="仿宋_GB2312" w:hAnsi="仿宋"/>
          <w:color w:val="000000"/>
          <w:sz w:val="28"/>
          <w:szCs w:val="28"/>
          <w:lang w:val="en-US" w:eastAsia="zh-CN"/>
        </w:rPr>
        <w:t xml:space="preserve"> </w:t>
      </w:r>
      <w:r>
        <w:rPr>
          <w:rFonts w:hint="eastAsia" w:ascii="仿宋_GB2312" w:hAnsi="仿宋"/>
          <w:color w:val="000000"/>
          <w:sz w:val="28"/>
          <w:szCs w:val="28"/>
        </w:rPr>
        <w:t xml:space="preserve">     </w:t>
      </w:r>
      <w:r>
        <w:rPr>
          <w:rFonts w:hint="eastAsia" w:ascii="仿宋_GB2312" w:hAnsi="仿宋"/>
          <w:color w:val="000000"/>
          <w:sz w:val="28"/>
          <w:szCs w:val="28"/>
          <w:lang w:val="en-US" w:eastAsia="zh-CN"/>
        </w:rPr>
        <w:t xml:space="preserve"> </w:t>
      </w:r>
      <w:r>
        <w:rPr>
          <w:rFonts w:hint="eastAsia" w:ascii="仿宋_GB2312" w:hAnsi="仿宋"/>
          <w:color w:val="000000"/>
          <w:sz w:val="28"/>
          <w:szCs w:val="28"/>
        </w:rPr>
        <w:t xml:space="preserve">   202</w:t>
      </w:r>
      <w:r>
        <w:rPr>
          <w:rFonts w:hint="eastAsia" w:ascii="仿宋_GB2312" w:hAnsi="仿宋"/>
          <w:color w:val="000000"/>
          <w:sz w:val="28"/>
          <w:szCs w:val="28"/>
          <w:lang w:val="en-US" w:eastAsia="zh-CN"/>
        </w:rPr>
        <w:t>4</w:t>
      </w:r>
      <w:r>
        <w:rPr>
          <w:rFonts w:hint="eastAsia" w:ascii="仿宋_GB2312" w:hAnsi="仿宋"/>
          <w:color w:val="000000"/>
          <w:sz w:val="28"/>
          <w:szCs w:val="28"/>
        </w:rPr>
        <w:t>年</w:t>
      </w:r>
      <w:r>
        <w:rPr>
          <w:rFonts w:hint="eastAsia" w:ascii="仿宋_GB2312" w:hAnsi="仿宋"/>
          <w:color w:val="000000"/>
          <w:sz w:val="28"/>
          <w:szCs w:val="28"/>
          <w:lang w:val="en-US" w:eastAsia="zh-CN"/>
        </w:rPr>
        <w:t>11</w:t>
      </w:r>
      <w:r>
        <w:rPr>
          <w:rFonts w:hint="eastAsia" w:ascii="仿宋_GB2312" w:hAnsi="仿宋"/>
          <w:color w:val="000000"/>
          <w:sz w:val="28"/>
          <w:szCs w:val="28"/>
        </w:rPr>
        <w:t>月</w:t>
      </w:r>
      <w:r>
        <w:rPr>
          <w:rFonts w:hint="eastAsia" w:ascii="仿宋_GB2312" w:hAnsi="仿宋"/>
          <w:color w:val="000000"/>
          <w:sz w:val="28"/>
          <w:szCs w:val="28"/>
          <w:lang w:val="en-US" w:eastAsia="zh-CN"/>
        </w:rPr>
        <w:t>12</w:t>
      </w:r>
      <w:r>
        <w:rPr>
          <w:rFonts w:hint="eastAsia" w:ascii="仿宋_GB2312" w:hAnsi="仿宋"/>
          <w:color w:val="000000"/>
          <w:sz w:val="28"/>
          <w:szCs w:val="28"/>
        </w:rPr>
        <w:t>日印发</w:t>
      </w:r>
    </w:p>
    <w:p w14:paraId="4E9726C1">
      <w:pPr>
        <w:adjustRightInd w:val="0"/>
        <w:snapToGrid w:val="0"/>
        <w:spacing w:line="20" w:lineRule="exact"/>
        <w:rPr>
          <w:rFonts w:hint="eastAsia"/>
          <w:color w:val="000000"/>
        </w:rPr>
      </w:pPr>
    </w:p>
    <w:p w14:paraId="5E3D6B8F">
      <w:pPr>
        <w:tabs>
          <w:tab w:val="left" w:pos="3906"/>
        </w:tabs>
        <w:adjustRightInd w:val="0"/>
        <w:snapToGrid w:val="0"/>
        <w:spacing w:line="40" w:lineRule="exact"/>
        <w:ind w:firstLine="596" w:firstLineChars="200"/>
        <w:rPr>
          <w:rFonts w:hint="eastAsia" w:ascii="仿宋" w:hAnsi="仿宋" w:eastAsia="仿宋"/>
          <w:color w:val="000000"/>
          <w:spacing w:val="-8"/>
        </w:rPr>
      </w:pPr>
    </w:p>
    <w:p w14:paraId="67826990">
      <w:pPr>
        <w:widowControl/>
        <w:tabs>
          <w:tab w:val="left" w:pos="2033"/>
          <w:tab w:val="left" w:pos="3233"/>
          <w:tab w:val="left" w:pos="3873"/>
          <w:tab w:val="left" w:pos="5633"/>
          <w:tab w:val="left" w:pos="7173"/>
          <w:tab w:val="left" w:pos="9333"/>
          <w:tab w:val="left" w:pos="10513"/>
          <w:tab w:val="left" w:pos="12093"/>
          <w:tab w:val="left" w:pos="12913"/>
          <w:tab w:val="left" w:pos="14853"/>
        </w:tabs>
        <w:adjustRightInd w:val="0"/>
        <w:snapToGrid w:val="0"/>
        <w:spacing w:line="20" w:lineRule="exact"/>
        <w:jc w:val="left"/>
        <w:rPr>
          <w:rFonts w:hint="eastAsia"/>
          <w:color w:val="000000"/>
        </w:rPr>
      </w:pPr>
      <w:r>
        <w:rPr>
          <w:rFonts w:hint="eastAsia"/>
          <w:color w:val="000000"/>
        </w:rPr>
        <mc:AlternateContent>
          <mc:Choice Requires="wps">
            <w:drawing>
              <wp:anchor distT="0" distB="0" distL="114300" distR="114300" simplePos="0" relativeHeight="251662336" behindDoc="0" locked="0" layoutInCell="1" allowOverlap="1">
                <wp:simplePos x="0" y="0"/>
                <wp:positionH relativeFrom="column">
                  <wp:posOffset>4228465</wp:posOffset>
                </wp:positionH>
                <wp:positionV relativeFrom="paragraph">
                  <wp:posOffset>74295</wp:posOffset>
                </wp:positionV>
                <wp:extent cx="1495425" cy="379095"/>
                <wp:effectExtent l="5080" t="4445" r="4445" b="16510"/>
                <wp:wrapNone/>
                <wp:docPr id="34" name="矩形 166"/>
                <wp:cNvGraphicFramePr/>
                <a:graphic xmlns:a="http://schemas.openxmlformats.org/drawingml/2006/main">
                  <a:graphicData uri="http://schemas.microsoft.com/office/word/2010/wordprocessingShape">
                    <wps:wsp>
                      <wps:cNvSpPr/>
                      <wps:spPr>
                        <a:xfrm>
                          <a:off x="0" y="0"/>
                          <a:ext cx="1495425" cy="379095"/>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166" o:spid="_x0000_s1026" o:spt="1" style="position:absolute;left:0pt;margin-left:332.95pt;margin-top:5.85pt;height:29.85pt;width:117.75pt;z-index:251662336;mso-width-relative:page;mso-height-relative:page;" fillcolor="#FFFFFF" filled="t" stroked="t" coordsize="21600,21600" o:gfxdata="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H9VyXXAAAACQEAAA8AAAAAAAAAAQAgAAAAIgAAAGRycy9k&#10;b3ducmV2LnhtbFBLAQIUABQAAAAIAIdO4kCguaufAwIAAC8EAAAOAAAAAAAAAAEAIAAAACYBAABk&#10;cnMvZTJvRG9jLnhtbFBLBQYAAAAABgAGAFkBAACbBQAAAAA=&#10;">
                <v:fill on="t" focussize="0,0"/>
                <v:stroke color="#FFFFFF" joinstyle="miter"/>
                <v:imagedata o:title=""/>
                <o:lock v:ext="edit" aspectratio="f"/>
              </v:rect>
            </w:pict>
          </mc:Fallback>
        </mc:AlternateContent>
      </w:r>
    </w:p>
    <w:sectPr>
      <w:headerReference r:id="rId3" w:type="default"/>
      <w:footerReference r:id="rId5" w:type="default"/>
      <w:headerReference r:id="rId4" w:type="even"/>
      <w:footerReference r:id="rId6" w:type="even"/>
      <w:pgSz w:w="11906" w:h="16838"/>
      <w:pgMar w:top="1985" w:right="1361" w:bottom="1701" w:left="1644" w:header="851" w:footer="992" w:gutter="0"/>
      <w:pgBorders>
        <w:top w:val="none" w:sz="0" w:space="0"/>
        <w:left w:val="none" w:sz="0" w:space="0"/>
        <w:bottom w:val="none" w:sz="0" w:space="0"/>
        <w:right w:val="none" w:sz="0" w:space="0"/>
      </w:pgBorders>
      <w:cols w:space="425" w:num="1"/>
      <w:docGrid w:type="linesAndChars" w:linePitch="59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DD97729-27CB-4F23-AE25-BC5D0EFB3E26}"/>
  </w:font>
  <w:font w:name="黑体">
    <w:panose1 w:val="02010609060101010101"/>
    <w:charset w:val="86"/>
    <w:family w:val="auto"/>
    <w:pitch w:val="default"/>
    <w:sig w:usb0="800002BF" w:usb1="38CF7CFA" w:usb2="00000016" w:usb3="00000000" w:csb0="00040001" w:csb1="00000000"/>
    <w:embedRegular r:id="rId2" w:fontKey="{F4D2999F-9D28-4E79-8D0D-9B5A46CF6B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0710B9CF-9A81-4300-9BE0-A4E8BD3B531C}"/>
  </w:font>
  <w:font w:name="文星标宋">
    <w:altName w:val="微软雅黑"/>
    <w:panose1 w:val="02010604000101010101"/>
    <w:charset w:val="86"/>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C7F277E1-98A1-4628-8B5E-95F6327BE8B5}"/>
  </w:font>
  <w:font w:name="华文中宋">
    <w:panose1 w:val="02010600040101010101"/>
    <w:charset w:val="86"/>
    <w:family w:val="auto"/>
    <w:pitch w:val="default"/>
    <w:sig w:usb0="00000287" w:usb1="080F0000" w:usb2="00000000" w:usb3="00000000" w:csb0="0004009F" w:csb1="DFD70000"/>
    <w:embedRegular r:id="rId5" w:fontKey="{94259540-8E14-4C4D-9549-703BF9591191}"/>
  </w:font>
  <w:font w:name="新宋体">
    <w:panose1 w:val="02010609030101010101"/>
    <w:charset w:val="86"/>
    <w:family w:val="modern"/>
    <w:pitch w:val="default"/>
    <w:sig w:usb0="00000283" w:usb1="288F0000" w:usb2="00000006" w:usb3="00000000" w:csb0="00040001" w:csb1="00000000"/>
    <w:embedRegular r:id="rId6" w:fontKey="{4254066C-EFCB-4495-AF9E-1727634FD622}"/>
  </w:font>
  <w:font w:name="楷体_GB2312">
    <w:altName w:val="楷体"/>
    <w:panose1 w:val="02010609030101010101"/>
    <w:charset w:val="86"/>
    <w:family w:val="auto"/>
    <w:pitch w:val="default"/>
    <w:sig w:usb0="00000000" w:usb1="00000000" w:usb2="00000000" w:usb3="00000000" w:csb0="00040000" w:csb1="00000000"/>
    <w:embedRegular r:id="rId7" w:fontKey="{3E3C410B-1BFB-4CB9-806C-52ACFC1170A9}"/>
  </w:font>
  <w:font w:name="方正宋三简体">
    <w:altName w:val="宋体"/>
    <w:panose1 w:val="03000509000000000000"/>
    <w:charset w:val="86"/>
    <w:family w:val="script"/>
    <w:pitch w:val="default"/>
    <w:sig w:usb0="00000000" w:usb1="00000000" w:usb2="00000000" w:usb3="00000000" w:csb0="00040000" w:csb1="00000000"/>
    <w:embedRegular r:id="rId8" w:fontKey="{08948C6F-24FA-42E3-A22F-29E5B2D665AA}"/>
  </w:font>
  <w:font w:name="仿宋">
    <w:panose1 w:val="02010609060101010101"/>
    <w:charset w:val="86"/>
    <w:family w:val="modern"/>
    <w:pitch w:val="default"/>
    <w:sig w:usb0="800002BF" w:usb1="38CF7CFA" w:usb2="00000016" w:usb3="00000000" w:csb0="00040001" w:csb1="00000000"/>
    <w:embedRegular r:id="rId9" w:fontKey="{0905D82D-4248-420D-8274-31469091FEF0}"/>
  </w:font>
  <w:font w:name="方正书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77933">
    <w:pPr>
      <w:pStyle w:val="11"/>
      <w:framePr w:w="1588" w:wrap="around" w:vAnchor="page" w:hAnchor="margin" w:xAlign="outside" w:y="15197"/>
      <w:jc w:val="center"/>
      <w:rPr>
        <w:rStyle w:val="19"/>
        <w:rFonts w:hint="eastAsia" w:ascii="方正书宋_GBK" w:hAnsi="方正书宋_GBK" w:eastAsia="方正书宋_GBK" w:cs="方正书宋_GBK"/>
        <w:sz w:val="28"/>
        <w:szCs w:val="28"/>
      </w:rPr>
    </w:pPr>
    <w:r>
      <w:rPr>
        <w:rStyle w:val="19"/>
        <w:rFonts w:hint="eastAsia" w:ascii="方正书宋_GBK" w:hAnsi="方正书宋_GBK" w:eastAsia="方正书宋_GBK" w:cs="方正书宋_GBK"/>
        <w:sz w:val="28"/>
        <w:szCs w:val="28"/>
      </w:rPr>
      <w:t xml:space="preserve">— </w:t>
    </w:r>
    <w:r>
      <w:rPr>
        <w:rStyle w:val="19"/>
        <w:rFonts w:hint="eastAsia" w:ascii="方正书宋_GBK" w:hAnsi="方正书宋_GBK" w:eastAsia="方正书宋_GBK" w:cs="方正书宋_GBK"/>
        <w:sz w:val="28"/>
        <w:szCs w:val="28"/>
      </w:rPr>
      <w:fldChar w:fldCharType="begin"/>
    </w:r>
    <w:r>
      <w:rPr>
        <w:rStyle w:val="19"/>
        <w:rFonts w:hint="eastAsia" w:ascii="方正书宋_GBK" w:hAnsi="方正书宋_GBK" w:eastAsia="方正书宋_GBK" w:cs="方正书宋_GBK"/>
        <w:sz w:val="28"/>
        <w:szCs w:val="28"/>
      </w:rPr>
      <w:instrText xml:space="preserve">PAGE  </w:instrText>
    </w:r>
    <w:r>
      <w:rPr>
        <w:rStyle w:val="19"/>
        <w:rFonts w:hint="eastAsia" w:ascii="方正书宋_GBK" w:hAnsi="方正书宋_GBK" w:eastAsia="方正书宋_GBK" w:cs="方正书宋_GBK"/>
        <w:sz w:val="28"/>
        <w:szCs w:val="28"/>
      </w:rPr>
      <w:fldChar w:fldCharType="separate"/>
    </w:r>
    <w:r>
      <w:rPr>
        <w:rStyle w:val="19"/>
        <w:rFonts w:hint="eastAsia" w:ascii="方正书宋_GBK" w:hAnsi="方正书宋_GBK" w:eastAsia="方正书宋_GBK" w:cs="方正书宋_GBK"/>
        <w:sz w:val="28"/>
        <w:szCs w:val="28"/>
      </w:rPr>
      <w:t>11</w:t>
    </w:r>
    <w:r>
      <w:rPr>
        <w:rStyle w:val="19"/>
        <w:rFonts w:hint="eastAsia" w:ascii="方正书宋_GBK" w:hAnsi="方正书宋_GBK" w:eastAsia="方正书宋_GBK" w:cs="方正书宋_GBK"/>
        <w:sz w:val="28"/>
        <w:szCs w:val="28"/>
      </w:rPr>
      <w:fldChar w:fldCharType="end"/>
    </w:r>
    <w:r>
      <w:rPr>
        <w:rStyle w:val="19"/>
        <w:rFonts w:hint="eastAsia" w:ascii="方正书宋_GBK" w:hAnsi="方正书宋_GBK" w:eastAsia="方正书宋_GBK" w:cs="方正书宋_GBK"/>
        <w:sz w:val="28"/>
        <w:szCs w:val="28"/>
      </w:rPr>
      <w:t xml:space="preserve"> —</w:t>
    </w:r>
  </w:p>
  <w:p w14:paraId="33DAE41A">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06684">
    <w:pPr>
      <w:pStyle w:val="11"/>
      <w:framePr w:w="1588" w:wrap="around" w:vAnchor="page" w:hAnchor="margin" w:xAlign="outside" w:y="15197"/>
      <w:jc w:val="center"/>
      <w:rPr>
        <w:rStyle w:val="19"/>
        <w:rFonts w:hint="eastAsia" w:ascii="方正书宋_GBK" w:hAnsi="方正书宋_GBK" w:eastAsia="方正书宋_GBK" w:cs="方正书宋_GBK"/>
        <w:sz w:val="28"/>
        <w:szCs w:val="28"/>
      </w:rPr>
    </w:pPr>
    <w:r>
      <w:rPr>
        <w:rStyle w:val="19"/>
        <w:rFonts w:hint="eastAsia" w:ascii="方正书宋_GBK" w:hAnsi="方正书宋_GBK" w:eastAsia="方正书宋_GBK" w:cs="方正书宋_GBK"/>
        <w:sz w:val="28"/>
        <w:szCs w:val="28"/>
      </w:rPr>
      <w:t xml:space="preserve">— </w:t>
    </w:r>
    <w:r>
      <w:rPr>
        <w:rStyle w:val="19"/>
        <w:rFonts w:hint="eastAsia" w:ascii="方正书宋_GBK" w:hAnsi="方正书宋_GBK" w:eastAsia="方正书宋_GBK" w:cs="方正书宋_GBK"/>
        <w:sz w:val="28"/>
        <w:szCs w:val="28"/>
      </w:rPr>
      <w:fldChar w:fldCharType="begin"/>
    </w:r>
    <w:r>
      <w:rPr>
        <w:rStyle w:val="19"/>
        <w:rFonts w:hint="eastAsia" w:ascii="方正书宋_GBK" w:hAnsi="方正书宋_GBK" w:eastAsia="方正书宋_GBK" w:cs="方正书宋_GBK"/>
        <w:sz w:val="28"/>
        <w:szCs w:val="28"/>
      </w:rPr>
      <w:instrText xml:space="preserve">PAGE  </w:instrText>
    </w:r>
    <w:r>
      <w:rPr>
        <w:rStyle w:val="19"/>
        <w:rFonts w:hint="eastAsia" w:ascii="方正书宋_GBK" w:hAnsi="方正书宋_GBK" w:eastAsia="方正书宋_GBK" w:cs="方正书宋_GBK"/>
        <w:sz w:val="28"/>
        <w:szCs w:val="28"/>
      </w:rPr>
      <w:fldChar w:fldCharType="separate"/>
    </w:r>
    <w:r>
      <w:rPr>
        <w:rStyle w:val="19"/>
        <w:rFonts w:hint="eastAsia" w:ascii="方正书宋_GBK" w:hAnsi="方正书宋_GBK" w:eastAsia="方正书宋_GBK" w:cs="方正书宋_GBK"/>
        <w:sz w:val="28"/>
        <w:szCs w:val="28"/>
      </w:rPr>
      <w:t>12</w:t>
    </w:r>
    <w:r>
      <w:rPr>
        <w:rStyle w:val="19"/>
        <w:rFonts w:hint="eastAsia" w:ascii="方正书宋_GBK" w:hAnsi="方正书宋_GBK" w:eastAsia="方正书宋_GBK" w:cs="方正书宋_GBK"/>
        <w:sz w:val="28"/>
        <w:szCs w:val="28"/>
      </w:rPr>
      <w:fldChar w:fldCharType="end"/>
    </w:r>
    <w:r>
      <w:rPr>
        <w:rStyle w:val="19"/>
        <w:rFonts w:hint="eastAsia" w:ascii="方正书宋_GBK" w:hAnsi="方正书宋_GBK" w:eastAsia="方正书宋_GBK" w:cs="方正书宋_GBK"/>
        <w:sz w:val="28"/>
        <w:szCs w:val="28"/>
      </w:rPr>
      <w:t xml:space="preserve"> —</w:t>
    </w:r>
  </w:p>
  <w:p w14:paraId="078C59BA">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8986F">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54FB3">
    <w:pPr>
      <w:pStyle w:val="12"/>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4"/>
      <w:lvlText w:val="%1."/>
      <w:lvlJc w:val="left"/>
      <w:pPr>
        <w:tabs>
          <w:tab w:val="left" w:pos="360"/>
        </w:tabs>
        <w:ind w:left="360" w:hanging="360" w:hangingChars="2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7"/>
  <w:drawingGridVerticalSpacing w:val="597"/>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NzY0YWE0MzU5ZTQwOTVjNmU4ZGExNTFjODllMGYifQ=="/>
    <w:docVar w:name="KSO_WPS_MARK_KEY" w:val="a2f8539a-0d7a-4a79-868e-c4f4032e655e"/>
  </w:docVars>
  <w:rsids>
    <w:rsidRoot w:val="0037056A"/>
    <w:rsid w:val="00003FC8"/>
    <w:rsid w:val="000131B2"/>
    <w:rsid w:val="00015213"/>
    <w:rsid w:val="00016263"/>
    <w:rsid w:val="0002051A"/>
    <w:rsid w:val="000269FA"/>
    <w:rsid w:val="00037691"/>
    <w:rsid w:val="000416C1"/>
    <w:rsid w:val="00045ADA"/>
    <w:rsid w:val="00046709"/>
    <w:rsid w:val="00052DB9"/>
    <w:rsid w:val="000564AB"/>
    <w:rsid w:val="00061360"/>
    <w:rsid w:val="0006294A"/>
    <w:rsid w:val="00064237"/>
    <w:rsid w:val="00073271"/>
    <w:rsid w:val="0007395B"/>
    <w:rsid w:val="000814C9"/>
    <w:rsid w:val="00083633"/>
    <w:rsid w:val="000844F0"/>
    <w:rsid w:val="00090BCC"/>
    <w:rsid w:val="00092774"/>
    <w:rsid w:val="00096C61"/>
    <w:rsid w:val="000B0DE7"/>
    <w:rsid w:val="000B2859"/>
    <w:rsid w:val="000B506D"/>
    <w:rsid w:val="000C35B4"/>
    <w:rsid w:val="000C3860"/>
    <w:rsid w:val="000C3920"/>
    <w:rsid w:val="000C62A4"/>
    <w:rsid w:val="000C6CB2"/>
    <w:rsid w:val="000D0942"/>
    <w:rsid w:val="000D1CF8"/>
    <w:rsid w:val="000D7C22"/>
    <w:rsid w:val="000E18D7"/>
    <w:rsid w:val="000F0D5D"/>
    <w:rsid w:val="000F7363"/>
    <w:rsid w:val="000F7799"/>
    <w:rsid w:val="001032A7"/>
    <w:rsid w:val="001107DC"/>
    <w:rsid w:val="001227BA"/>
    <w:rsid w:val="0012282D"/>
    <w:rsid w:val="001231BA"/>
    <w:rsid w:val="00131B78"/>
    <w:rsid w:val="00137D29"/>
    <w:rsid w:val="00137FE7"/>
    <w:rsid w:val="0014435D"/>
    <w:rsid w:val="001455B4"/>
    <w:rsid w:val="001544BE"/>
    <w:rsid w:val="0016305B"/>
    <w:rsid w:val="00164741"/>
    <w:rsid w:val="00167D87"/>
    <w:rsid w:val="00170DC6"/>
    <w:rsid w:val="001722F9"/>
    <w:rsid w:val="00174712"/>
    <w:rsid w:val="00174851"/>
    <w:rsid w:val="001758B2"/>
    <w:rsid w:val="00177249"/>
    <w:rsid w:val="00180902"/>
    <w:rsid w:val="00184E32"/>
    <w:rsid w:val="00185070"/>
    <w:rsid w:val="00186CCB"/>
    <w:rsid w:val="00187EED"/>
    <w:rsid w:val="00191FCB"/>
    <w:rsid w:val="001A55FC"/>
    <w:rsid w:val="001B172B"/>
    <w:rsid w:val="001B30B7"/>
    <w:rsid w:val="001B5EED"/>
    <w:rsid w:val="001C52CC"/>
    <w:rsid w:val="001E5940"/>
    <w:rsid w:val="001F034D"/>
    <w:rsid w:val="001F0F09"/>
    <w:rsid w:val="001F342E"/>
    <w:rsid w:val="00201442"/>
    <w:rsid w:val="002027C8"/>
    <w:rsid w:val="00203DD8"/>
    <w:rsid w:val="00205387"/>
    <w:rsid w:val="00211BE0"/>
    <w:rsid w:val="00215394"/>
    <w:rsid w:val="002166CD"/>
    <w:rsid w:val="00225A9C"/>
    <w:rsid w:val="002273D5"/>
    <w:rsid w:val="00235509"/>
    <w:rsid w:val="002430B0"/>
    <w:rsid w:val="00246970"/>
    <w:rsid w:val="00253626"/>
    <w:rsid w:val="00255938"/>
    <w:rsid w:val="00275346"/>
    <w:rsid w:val="002779B3"/>
    <w:rsid w:val="002827D6"/>
    <w:rsid w:val="002841F0"/>
    <w:rsid w:val="00286CDE"/>
    <w:rsid w:val="002872C1"/>
    <w:rsid w:val="0029101F"/>
    <w:rsid w:val="00292E1B"/>
    <w:rsid w:val="00297912"/>
    <w:rsid w:val="002B2EF0"/>
    <w:rsid w:val="002B6F29"/>
    <w:rsid w:val="002B73F8"/>
    <w:rsid w:val="002C5EE1"/>
    <w:rsid w:val="002C6703"/>
    <w:rsid w:val="002C7DB7"/>
    <w:rsid w:val="002E0299"/>
    <w:rsid w:val="002F3FE2"/>
    <w:rsid w:val="002F7D27"/>
    <w:rsid w:val="00306ED1"/>
    <w:rsid w:val="00310636"/>
    <w:rsid w:val="00313A94"/>
    <w:rsid w:val="00315B0D"/>
    <w:rsid w:val="00323DED"/>
    <w:rsid w:val="003308D4"/>
    <w:rsid w:val="00333D32"/>
    <w:rsid w:val="00333FD6"/>
    <w:rsid w:val="00334EEA"/>
    <w:rsid w:val="00343E1B"/>
    <w:rsid w:val="00345427"/>
    <w:rsid w:val="00345CEE"/>
    <w:rsid w:val="00347FD1"/>
    <w:rsid w:val="0035068C"/>
    <w:rsid w:val="00355C9D"/>
    <w:rsid w:val="00356E08"/>
    <w:rsid w:val="00360CC1"/>
    <w:rsid w:val="003626AC"/>
    <w:rsid w:val="0036325C"/>
    <w:rsid w:val="0037056A"/>
    <w:rsid w:val="00380C72"/>
    <w:rsid w:val="0038429D"/>
    <w:rsid w:val="00393846"/>
    <w:rsid w:val="00394E2C"/>
    <w:rsid w:val="003958C8"/>
    <w:rsid w:val="003A188D"/>
    <w:rsid w:val="003A447D"/>
    <w:rsid w:val="003A45E1"/>
    <w:rsid w:val="003A70A7"/>
    <w:rsid w:val="003A75E6"/>
    <w:rsid w:val="003B01A2"/>
    <w:rsid w:val="003B48F3"/>
    <w:rsid w:val="003B4A93"/>
    <w:rsid w:val="003C248C"/>
    <w:rsid w:val="003C3584"/>
    <w:rsid w:val="003D08BA"/>
    <w:rsid w:val="003D1823"/>
    <w:rsid w:val="003D2996"/>
    <w:rsid w:val="003D4F35"/>
    <w:rsid w:val="003E14D5"/>
    <w:rsid w:val="003E571E"/>
    <w:rsid w:val="003E74B1"/>
    <w:rsid w:val="003F0011"/>
    <w:rsid w:val="003F5937"/>
    <w:rsid w:val="0041064F"/>
    <w:rsid w:val="00410D94"/>
    <w:rsid w:val="00415E0C"/>
    <w:rsid w:val="004203AA"/>
    <w:rsid w:val="004207C7"/>
    <w:rsid w:val="00420C88"/>
    <w:rsid w:val="0043213D"/>
    <w:rsid w:val="00445B76"/>
    <w:rsid w:val="00446802"/>
    <w:rsid w:val="004474E3"/>
    <w:rsid w:val="00450C3C"/>
    <w:rsid w:val="00451640"/>
    <w:rsid w:val="0045511E"/>
    <w:rsid w:val="004558EB"/>
    <w:rsid w:val="004571D6"/>
    <w:rsid w:val="00457511"/>
    <w:rsid w:val="00461F40"/>
    <w:rsid w:val="00462022"/>
    <w:rsid w:val="00465131"/>
    <w:rsid w:val="00466ADB"/>
    <w:rsid w:val="00471BC8"/>
    <w:rsid w:val="00471DFC"/>
    <w:rsid w:val="00471F2C"/>
    <w:rsid w:val="0047517D"/>
    <w:rsid w:val="004912FD"/>
    <w:rsid w:val="00495FCA"/>
    <w:rsid w:val="0049767E"/>
    <w:rsid w:val="004A2397"/>
    <w:rsid w:val="004A3B0A"/>
    <w:rsid w:val="004A4AD3"/>
    <w:rsid w:val="004B09CC"/>
    <w:rsid w:val="004B209E"/>
    <w:rsid w:val="004B279E"/>
    <w:rsid w:val="004B6C6D"/>
    <w:rsid w:val="004B720D"/>
    <w:rsid w:val="004C386E"/>
    <w:rsid w:val="004D15F3"/>
    <w:rsid w:val="004D2097"/>
    <w:rsid w:val="004E1F57"/>
    <w:rsid w:val="004E7EA0"/>
    <w:rsid w:val="004F5FDD"/>
    <w:rsid w:val="004F7DE2"/>
    <w:rsid w:val="00503141"/>
    <w:rsid w:val="005040B8"/>
    <w:rsid w:val="00510350"/>
    <w:rsid w:val="005109DB"/>
    <w:rsid w:val="00511020"/>
    <w:rsid w:val="00512E55"/>
    <w:rsid w:val="00515E1F"/>
    <w:rsid w:val="005201D0"/>
    <w:rsid w:val="00520F42"/>
    <w:rsid w:val="00521437"/>
    <w:rsid w:val="005242C1"/>
    <w:rsid w:val="0053613E"/>
    <w:rsid w:val="00537AD3"/>
    <w:rsid w:val="0054205F"/>
    <w:rsid w:val="00542390"/>
    <w:rsid w:val="00556128"/>
    <w:rsid w:val="00562528"/>
    <w:rsid w:val="005706AF"/>
    <w:rsid w:val="00572D9E"/>
    <w:rsid w:val="005745F3"/>
    <w:rsid w:val="00576208"/>
    <w:rsid w:val="00593F92"/>
    <w:rsid w:val="0059612F"/>
    <w:rsid w:val="005A5470"/>
    <w:rsid w:val="005B6516"/>
    <w:rsid w:val="005C3763"/>
    <w:rsid w:val="005C45A9"/>
    <w:rsid w:val="005C4E75"/>
    <w:rsid w:val="005C7383"/>
    <w:rsid w:val="005F1B00"/>
    <w:rsid w:val="005F3B66"/>
    <w:rsid w:val="005F595E"/>
    <w:rsid w:val="005F7223"/>
    <w:rsid w:val="006001E6"/>
    <w:rsid w:val="00600BE1"/>
    <w:rsid w:val="00600E57"/>
    <w:rsid w:val="00603223"/>
    <w:rsid w:val="00604243"/>
    <w:rsid w:val="00610094"/>
    <w:rsid w:val="00611617"/>
    <w:rsid w:val="006169BD"/>
    <w:rsid w:val="0062009C"/>
    <w:rsid w:val="006219E3"/>
    <w:rsid w:val="00621DED"/>
    <w:rsid w:val="0062558B"/>
    <w:rsid w:val="00626FFE"/>
    <w:rsid w:val="0063135F"/>
    <w:rsid w:val="00633D2E"/>
    <w:rsid w:val="0064116D"/>
    <w:rsid w:val="00641B09"/>
    <w:rsid w:val="00644E89"/>
    <w:rsid w:val="00647422"/>
    <w:rsid w:val="0067566C"/>
    <w:rsid w:val="0068190A"/>
    <w:rsid w:val="00683F77"/>
    <w:rsid w:val="00684809"/>
    <w:rsid w:val="00692D61"/>
    <w:rsid w:val="006A551C"/>
    <w:rsid w:val="006B3CC5"/>
    <w:rsid w:val="006C2C45"/>
    <w:rsid w:val="006C371D"/>
    <w:rsid w:val="006D3913"/>
    <w:rsid w:val="006D4137"/>
    <w:rsid w:val="006D71EA"/>
    <w:rsid w:val="006E1F35"/>
    <w:rsid w:val="006E4112"/>
    <w:rsid w:val="006E4485"/>
    <w:rsid w:val="006E672E"/>
    <w:rsid w:val="006F0B97"/>
    <w:rsid w:val="00705E91"/>
    <w:rsid w:val="00706B04"/>
    <w:rsid w:val="0070733D"/>
    <w:rsid w:val="007210A4"/>
    <w:rsid w:val="007256CB"/>
    <w:rsid w:val="00726555"/>
    <w:rsid w:val="007272E3"/>
    <w:rsid w:val="0073183E"/>
    <w:rsid w:val="007321C7"/>
    <w:rsid w:val="007413EA"/>
    <w:rsid w:val="0074232B"/>
    <w:rsid w:val="007430DB"/>
    <w:rsid w:val="00743949"/>
    <w:rsid w:val="00747686"/>
    <w:rsid w:val="007574BD"/>
    <w:rsid w:val="00761CF0"/>
    <w:rsid w:val="00765752"/>
    <w:rsid w:val="00766212"/>
    <w:rsid w:val="00771CD3"/>
    <w:rsid w:val="007757F8"/>
    <w:rsid w:val="007804C1"/>
    <w:rsid w:val="0078170A"/>
    <w:rsid w:val="00796627"/>
    <w:rsid w:val="007A526C"/>
    <w:rsid w:val="007B0D81"/>
    <w:rsid w:val="007B448D"/>
    <w:rsid w:val="007B64BA"/>
    <w:rsid w:val="007B7F75"/>
    <w:rsid w:val="007C394F"/>
    <w:rsid w:val="007C522D"/>
    <w:rsid w:val="007D2F3C"/>
    <w:rsid w:val="007D4112"/>
    <w:rsid w:val="007F0961"/>
    <w:rsid w:val="007F1590"/>
    <w:rsid w:val="0080373A"/>
    <w:rsid w:val="00804841"/>
    <w:rsid w:val="00806BC5"/>
    <w:rsid w:val="008075A8"/>
    <w:rsid w:val="0081017F"/>
    <w:rsid w:val="008333B5"/>
    <w:rsid w:val="008405D0"/>
    <w:rsid w:val="00840B20"/>
    <w:rsid w:val="00851401"/>
    <w:rsid w:val="00865799"/>
    <w:rsid w:val="00877C28"/>
    <w:rsid w:val="00882F71"/>
    <w:rsid w:val="00887113"/>
    <w:rsid w:val="00887D66"/>
    <w:rsid w:val="008928E5"/>
    <w:rsid w:val="008A0533"/>
    <w:rsid w:val="008A14AC"/>
    <w:rsid w:val="008A2DA8"/>
    <w:rsid w:val="008B054C"/>
    <w:rsid w:val="008B325D"/>
    <w:rsid w:val="008B4974"/>
    <w:rsid w:val="008B5F59"/>
    <w:rsid w:val="008C3325"/>
    <w:rsid w:val="008C4F10"/>
    <w:rsid w:val="008D311F"/>
    <w:rsid w:val="008D4F7F"/>
    <w:rsid w:val="008E3B6C"/>
    <w:rsid w:val="008E49C9"/>
    <w:rsid w:val="008E6C8C"/>
    <w:rsid w:val="008F2E99"/>
    <w:rsid w:val="008F5C5B"/>
    <w:rsid w:val="008F6C05"/>
    <w:rsid w:val="009013DC"/>
    <w:rsid w:val="00906F06"/>
    <w:rsid w:val="00910C23"/>
    <w:rsid w:val="00913721"/>
    <w:rsid w:val="0091492C"/>
    <w:rsid w:val="00920609"/>
    <w:rsid w:val="0092374B"/>
    <w:rsid w:val="00930325"/>
    <w:rsid w:val="00933E41"/>
    <w:rsid w:val="0093594C"/>
    <w:rsid w:val="0094405D"/>
    <w:rsid w:val="00951E99"/>
    <w:rsid w:val="00952D22"/>
    <w:rsid w:val="00954FDA"/>
    <w:rsid w:val="009615F6"/>
    <w:rsid w:val="0096504D"/>
    <w:rsid w:val="00971A63"/>
    <w:rsid w:val="00977863"/>
    <w:rsid w:val="00977C0E"/>
    <w:rsid w:val="009929BB"/>
    <w:rsid w:val="009A059E"/>
    <w:rsid w:val="009A124F"/>
    <w:rsid w:val="009B021F"/>
    <w:rsid w:val="009B4782"/>
    <w:rsid w:val="009C23B3"/>
    <w:rsid w:val="009D0EFF"/>
    <w:rsid w:val="009D5327"/>
    <w:rsid w:val="009D5709"/>
    <w:rsid w:val="009D5D17"/>
    <w:rsid w:val="009D6282"/>
    <w:rsid w:val="009D77EF"/>
    <w:rsid w:val="009D79C9"/>
    <w:rsid w:val="009E40D0"/>
    <w:rsid w:val="009E58B9"/>
    <w:rsid w:val="009F2F7D"/>
    <w:rsid w:val="00A00840"/>
    <w:rsid w:val="00A07E41"/>
    <w:rsid w:val="00A116DE"/>
    <w:rsid w:val="00A247BD"/>
    <w:rsid w:val="00A33730"/>
    <w:rsid w:val="00A35BE2"/>
    <w:rsid w:val="00A36FF5"/>
    <w:rsid w:val="00A37A60"/>
    <w:rsid w:val="00A44397"/>
    <w:rsid w:val="00A52866"/>
    <w:rsid w:val="00A571ED"/>
    <w:rsid w:val="00A60BA3"/>
    <w:rsid w:val="00A63F6F"/>
    <w:rsid w:val="00A6656E"/>
    <w:rsid w:val="00A82B1A"/>
    <w:rsid w:val="00A84305"/>
    <w:rsid w:val="00A937A0"/>
    <w:rsid w:val="00A966EE"/>
    <w:rsid w:val="00AA21DC"/>
    <w:rsid w:val="00AA7726"/>
    <w:rsid w:val="00AB2DB6"/>
    <w:rsid w:val="00AB4841"/>
    <w:rsid w:val="00AB4E56"/>
    <w:rsid w:val="00AC6B5B"/>
    <w:rsid w:val="00AD1785"/>
    <w:rsid w:val="00AD2D0C"/>
    <w:rsid w:val="00AD5D52"/>
    <w:rsid w:val="00AE0EB6"/>
    <w:rsid w:val="00AE1AEB"/>
    <w:rsid w:val="00AE5F18"/>
    <w:rsid w:val="00AE7FB5"/>
    <w:rsid w:val="00AF1538"/>
    <w:rsid w:val="00AF1CDF"/>
    <w:rsid w:val="00AF7E65"/>
    <w:rsid w:val="00B06BDA"/>
    <w:rsid w:val="00B10D05"/>
    <w:rsid w:val="00B11025"/>
    <w:rsid w:val="00B11391"/>
    <w:rsid w:val="00B11EF1"/>
    <w:rsid w:val="00B12312"/>
    <w:rsid w:val="00B145CF"/>
    <w:rsid w:val="00B1490C"/>
    <w:rsid w:val="00B316F0"/>
    <w:rsid w:val="00B330BD"/>
    <w:rsid w:val="00B40167"/>
    <w:rsid w:val="00B40CBE"/>
    <w:rsid w:val="00B42F63"/>
    <w:rsid w:val="00B44DA7"/>
    <w:rsid w:val="00B47705"/>
    <w:rsid w:val="00B477C5"/>
    <w:rsid w:val="00B508DD"/>
    <w:rsid w:val="00B53596"/>
    <w:rsid w:val="00B53B2C"/>
    <w:rsid w:val="00B625B9"/>
    <w:rsid w:val="00B71C01"/>
    <w:rsid w:val="00B726B3"/>
    <w:rsid w:val="00B77825"/>
    <w:rsid w:val="00B80FB8"/>
    <w:rsid w:val="00B8290D"/>
    <w:rsid w:val="00B853A7"/>
    <w:rsid w:val="00B868B0"/>
    <w:rsid w:val="00B9656D"/>
    <w:rsid w:val="00BA00CF"/>
    <w:rsid w:val="00BA1EF8"/>
    <w:rsid w:val="00BA36B0"/>
    <w:rsid w:val="00BA5206"/>
    <w:rsid w:val="00BB0EEA"/>
    <w:rsid w:val="00BB165F"/>
    <w:rsid w:val="00BB4573"/>
    <w:rsid w:val="00BB6CBC"/>
    <w:rsid w:val="00BC182D"/>
    <w:rsid w:val="00BC6734"/>
    <w:rsid w:val="00BC7486"/>
    <w:rsid w:val="00BE3AF7"/>
    <w:rsid w:val="00BE46A5"/>
    <w:rsid w:val="00BE4FBC"/>
    <w:rsid w:val="00BF086D"/>
    <w:rsid w:val="00C0177E"/>
    <w:rsid w:val="00C04822"/>
    <w:rsid w:val="00C0680B"/>
    <w:rsid w:val="00C07CF9"/>
    <w:rsid w:val="00C10E39"/>
    <w:rsid w:val="00C11233"/>
    <w:rsid w:val="00C17E91"/>
    <w:rsid w:val="00C25879"/>
    <w:rsid w:val="00C2799D"/>
    <w:rsid w:val="00C461E2"/>
    <w:rsid w:val="00C50579"/>
    <w:rsid w:val="00C61C7C"/>
    <w:rsid w:val="00C73A6E"/>
    <w:rsid w:val="00C75394"/>
    <w:rsid w:val="00C76466"/>
    <w:rsid w:val="00C76B5C"/>
    <w:rsid w:val="00C91E40"/>
    <w:rsid w:val="00C92B1C"/>
    <w:rsid w:val="00C9601A"/>
    <w:rsid w:val="00C97420"/>
    <w:rsid w:val="00CB4393"/>
    <w:rsid w:val="00CB725D"/>
    <w:rsid w:val="00CC1021"/>
    <w:rsid w:val="00CC2AB9"/>
    <w:rsid w:val="00CC3588"/>
    <w:rsid w:val="00CD35B7"/>
    <w:rsid w:val="00CD70B2"/>
    <w:rsid w:val="00CE047F"/>
    <w:rsid w:val="00CE0A87"/>
    <w:rsid w:val="00CE5964"/>
    <w:rsid w:val="00CF1727"/>
    <w:rsid w:val="00CF42ED"/>
    <w:rsid w:val="00CF4BE4"/>
    <w:rsid w:val="00CF61B5"/>
    <w:rsid w:val="00CF7F79"/>
    <w:rsid w:val="00D06913"/>
    <w:rsid w:val="00D2084C"/>
    <w:rsid w:val="00D23D80"/>
    <w:rsid w:val="00D3164D"/>
    <w:rsid w:val="00D4349C"/>
    <w:rsid w:val="00D44749"/>
    <w:rsid w:val="00D45467"/>
    <w:rsid w:val="00D46CB2"/>
    <w:rsid w:val="00D56780"/>
    <w:rsid w:val="00D56F57"/>
    <w:rsid w:val="00D66CC9"/>
    <w:rsid w:val="00D71517"/>
    <w:rsid w:val="00D72AD1"/>
    <w:rsid w:val="00D735DE"/>
    <w:rsid w:val="00D73A8F"/>
    <w:rsid w:val="00D74D04"/>
    <w:rsid w:val="00D75FCA"/>
    <w:rsid w:val="00D77276"/>
    <w:rsid w:val="00D87FE6"/>
    <w:rsid w:val="00D94FE9"/>
    <w:rsid w:val="00D960AF"/>
    <w:rsid w:val="00D967DA"/>
    <w:rsid w:val="00DA57DB"/>
    <w:rsid w:val="00DA6B57"/>
    <w:rsid w:val="00DC26AE"/>
    <w:rsid w:val="00DC5928"/>
    <w:rsid w:val="00DD6949"/>
    <w:rsid w:val="00DF09D0"/>
    <w:rsid w:val="00DF2AFE"/>
    <w:rsid w:val="00DF3496"/>
    <w:rsid w:val="00DF3E9E"/>
    <w:rsid w:val="00DF41EE"/>
    <w:rsid w:val="00E108D6"/>
    <w:rsid w:val="00E11A1F"/>
    <w:rsid w:val="00E1553E"/>
    <w:rsid w:val="00E248B9"/>
    <w:rsid w:val="00E2703B"/>
    <w:rsid w:val="00E271A7"/>
    <w:rsid w:val="00E320CB"/>
    <w:rsid w:val="00E3298E"/>
    <w:rsid w:val="00E5066C"/>
    <w:rsid w:val="00E54BD1"/>
    <w:rsid w:val="00E560EB"/>
    <w:rsid w:val="00E67B7A"/>
    <w:rsid w:val="00E734D7"/>
    <w:rsid w:val="00E815E5"/>
    <w:rsid w:val="00EA239C"/>
    <w:rsid w:val="00EA337A"/>
    <w:rsid w:val="00EA7E84"/>
    <w:rsid w:val="00EB5E1F"/>
    <w:rsid w:val="00EB63CE"/>
    <w:rsid w:val="00EC561D"/>
    <w:rsid w:val="00EE13B2"/>
    <w:rsid w:val="00EE4DEE"/>
    <w:rsid w:val="00EE56FF"/>
    <w:rsid w:val="00EE66D2"/>
    <w:rsid w:val="00EE7689"/>
    <w:rsid w:val="00EF65DE"/>
    <w:rsid w:val="00F02D17"/>
    <w:rsid w:val="00F158BA"/>
    <w:rsid w:val="00F23840"/>
    <w:rsid w:val="00F269C7"/>
    <w:rsid w:val="00F45610"/>
    <w:rsid w:val="00F517EA"/>
    <w:rsid w:val="00F557AF"/>
    <w:rsid w:val="00F6595D"/>
    <w:rsid w:val="00F6744A"/>
    <w:rsid w:val="00F70143"/>
    <w:rsid w:val="00F72642"/>
    <w:rsid w:val="00F736CF"/>
    <w:rsid w:val="00F878CA"/>
    <w:rsid w:val="00F90A23"/>
    <w:rsid w:val="00F95121"/>
    <w:rsid w:val="00F96FED"/>
    <w:rsid w:val="00F97AAA"/>
    <w:rsid w:val="00FA060B"/>
    <w:rsid w:val="00FA5C10"/>
    <w:rsid w:val="00FA663D"/>
    <w:rsid w:val="00FB10DF"/>
    <w:rsid w:val="00FB5059"/>
    <w:rsid w:val="00FB6258"/>
    <w:rsid w:val="00FC2320"/>
    <w:rsid w:val="00FC5029"/>
    <w:rsid w:val="00FC6613"/>
    <w:rsid w:val="00FC7EBA"/>
    <w:rsid w:val="00FD3788"/>
    <w:rsid w:val="00FE3B2A"/>
    <w:rsid w:val="00FF0894"/>
    <w:rsid w:val="00FF0A1D"/>
    <w:rsid w:val="00FF1B22"/>
    <w:rsid w:val="00FF3865"/>
    <w:rsid w:val="00FF5385"/>
    <w:rsid w:val="00FF791C"/>
    <w:rsid w:val="01730582"/>
    <w:rsid w:val="01F12FDC"/>
    <w:rsid w:val="01FC2A8F"/>
    <w:rsid w:val="027E021B"/>
    <w:rsid w:val="0410030A"/>
    <w:rsid w:val="04B027A4"/>
    <w:rsid w:val="05E40E80"/>
    <w:rsid w:val="05FE2D06"/>
    <w:rsid w:val="09630EDC"/>
    <w:rsid w:val="10024296"/>
    <w:rsid w:val="11131439"/>
    <w:rsid w:val="120023B5"/>
    <w:rsid w:val="1232090E"/>
    <w:rsid w:val="169C3C7F"/>
    <w:rsid w:val="17A134E5"/>
    <w:rsid w:val="19D41982"/>
    <w:rsid w:val="1A3B0242"/>
    <w:rsid w:val="1DE572AA"/>
    <w:rsid w:val="1ED21A53"/>
    <w:rsid w:val="20D31ABE"/>
    <w:rsid w:val="24E331AB"/>
    <w:rsid w:val="26A30712"/>
    <w:rsid w:val="26B446CD"/>
    <w:rsid w:val="26DA6429"/>
    <w:rsid w:val="271F3DEB"/>
    <w:rsid w:val="289E5635"/>
    <w:rsid w:val="2CC40233"/>
    <w:rsid w:val="32FC18D5"/>
    <w:rsid w:val="33AD7ABF"/>
    <w:rsid w:val="33BF76D7"/>
    <w:rsid w:val="3451510B"/>
    <w:rsid w:val="34813A56"/>
    <w:rsid w:val="34D20E14"/>
    <w:rsid w:val="38B14F10"/>
    <w:rsid w:val="3ADA4AD3"/>
    <w:rsid w:val="3DDF3E83"/>
    <w:rsid w:val="3F695147"/>
    <w:rsid w:val="3F980BD8"/>
    <w:rsid w:val="3FD140EA"/>
    <w:rsid w:val="40F87DA4"/>
    <w:rsid w:val="4294648D"/>
    <w:rsid w:val="44F03307"/>
    <w:rsid w:val="46D771B4"/>
    <w:rsid w:val="485D651B"/>
    <w:rsid w:val="488505B6"/>
    <w:rsid w:val="497F0713"/>
    <w:rsid w:val="4EB90223"/>
    <w:rsid w:val="4EE05B6B"/>
    <w:rsid w:val="4FB1539E"/>
    <w:rsid w:val="556C26A5"/>
    <w:rsid w:val="55896DC6"/>
    <w:rsid w:val="57376898"/>
    <w:rsid w:val="5B723D4E"/>
    <w:rsid w:val="5E1C33F4"/>
    <w:rsid w:val="5E347CAA"/>
    <w:rsid w:val="61D1778A"/>
    <w:rsid w:val="628801E0"/>
    <w:rsid w:val="66415276"/>
    <w:rsid w:val="690600B1"/>
    <w:rsid w:val="698E07D2"/>
    <w:rsid w:val="6B7457A6"/>
    <w:rsid w:val="6C122924"/>
    <w:rsid w:val="6CD24E7A"/>
    <w:rsid w:val="6D8C2B3F"/>
    <w:rsid w:val="6E452965"/>
    <w:rsid w:val="715E0701"/>
    <w:rsid w:val="75BC6165"/>
    <w:rsid w:val="76472434"/>
    <w:rsid w:val="784529A4"/>
    <w:rsid w:val="78716073"/>
    <w:rsid w:val="7A094A3D"/>
    <w:rsid w:val="7BEB5198"/>
    <w:rsid w:val="7C1A4147"/>
    <w:rsid w:val="7CD26B10"/>
    <w:rsid w:val="7F3846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line="620" w:lineRule="exact"/>
      <w:ind w:firstLine="548" w:firstLineChars="200"/>
    </w:pPr>
    <w:rPr>
      <w:rFonts w:ascii="仿宋_GB2312" w:eastAsia="仿宋_GB2312"/>
      <w:spacing w:val="-20"/>
      <w:szCs w:val="32"/>
    </w:rPr>
  </w:style>
  <w:style w:type="paragraph" w:styleId="4">
    <w:name w:val="List Number"/>
    <w:basedOn w:val="1"/>
    <w:qFormat/>
    <w:uiPriority w:val="0"/>
    <w:pPr>
      <w:numPr>
        <w:ilvl w:val="0"/>
        <w:numId w:val="1"/>
      </w:numPr>
      <w:tabs>
        <w:tab w:val="left" w:pos="0"/>
      </w:tabs>
      <w:ind w:firstLineChars="0"/>
    </w:pPr>
    <w:rPr>
      <w:rFonts w:eastAsia="仿宋_GB2312"/>
      <w:sz w:val="32"/>
      <w:szCs w:val="20"/>
    </w:rPr>
  </w:style>
  <w:style w:type="paragraph" w:styleId="5">
    <w:name w:val="Normal Indent"/>
    <w:basedOn w:val="1"/>
    <w:qFormat/>
    <w:uiPriority w:val="99"/>
    <w:pPr>
      <w:ind w:firstLine="420" w:firstLineChars="200"/>
    </w:pPr>
  </w:style>
  <w:style w:type="paragraph" w:styleId="6">
    <w:name w:val="Body Text"/>
    <w:basedOn w:val="1"/>
    <w:qFormat/>
    <w:uiPriority w:val="0"/>
    <w:pPr>
      <w:spacing w:line="560" w:lineRule="exact"/>
      <w:jc w:val="center"/>
    </w:pPr>
    <w:rPr>
      <w:rFonts w:ascii="文星标宋" w:eastAsia="文星标宋"/>
      <w:spacing w:val="-13"/>
      <w:sz w:val="40"/>
      <w:szCs w:val="40"/>
    </w:rPr>
  </w:style>
  <w:style w:type="paragraph" w:styleId="7">
    <w:name w:val="Plain Text"/>
    <w:basedOn w:val="1"/>
    <w:qFormat/>
    <w:uiPriority w:val="0"/>
    <w:rPr>
      <w:rFonts w:ascii="宋体" w:hAnsi="Courier New"/>
      <w:sz w:val="32"/>
      <w:szCs w:val="20"/>
    </w:rPr>
  </w:style>
  <w:style w:type="paragraph" w:styleId="8">
    <w:name w:val="Date"/>
    <w:basedOn w:val="1"/>
    <w:next w:val="1"/>
    <w:qFormat/>
    <w:uiPriority w:val="0"/>
    <w:pPr>
      <w:ind w:left="100" w:leftChars="2500"/>
    </w:pPr>
  </w:style>
  <w:style w:type="paragraph" w:styleId="9">
    <w:name w:val="Body Text Indent 2"/>
    <w:basedOn w:val="1"/>
    <w:qFormat/>
    <w:uiPriority w:val="0"/>
    <w:pPr>
      <w:spacing w:line="580" w:lineRule="exact"/>
      <w:ind w:firstLine="628" w:firstLineChars="200"/>
    </w:pPr>
    <w:rPr>
      <w:rFonts w:ascii="仿宋_GB2312" w:eastAsia="仿宋_GB2312"/>
      <w:szCs w:val="32"/>
    </w:rPr>
  </w:style>
  <w:style w:type="paragraph" w:styleId="10">
    <w:name w:val="Balloon Text"/>
    <w:basedOn w:val="1"/>
    <w:semiHidden/>
    <w:qFormat/>
    <w:uiPriority w:val="0"/>
    <w:rPr>
      <w:sz w:val="18"/>
      <w:szCs w:val="18"/>
    </w:rPr>
  </w:style>
  <w:style w:type="paragraph" w:styleId="11">
    <w:name w:val="footer"/>
    <w:basedOn w:val="1"/>
    <w:link w:val="21"/>
    <w:qFormat/>
    <w:uiPriority w:val="0"/>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rPr>
      <w:rFonts w:ascii="Calibri" w:hAnsi="Calibri" w:eastAsia="宋体"/>
      <w:sz w:val="21"/>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character" w:styleId="19">
    <w:name w:val="page number"/>
    <w:basedOn w:val="17"/>
    <w:qFormat/>
    <w:uiPriority w:val="0"/>
  </w:style>
  <w:style w:type="character" w:styleId="20">
    <w:name w:val="Hyperlink"/>
    <w:qFormat/>
    <w:uiPriority w:val="0"/>
    <w:rPr>
      <w:color w:val="0000FF"/>
      <w:u w:val="single"/>
    </w:rPr>
  </w:style>
  <w:style w:type="character" w:customStyle="1" w:styleId="21">
    <w:name w:val=" Char Char"/>
    <w:basedOn w:val="17"/>
    <w:link w:val="11"/>
    <w:qFormat/>
    <w:uiPriority w:val="0"/>
    <w:rPr>
      <w:rFonts w:eastAsia="宋体"/>
      <w:kern w:val="2"/>
      <w:sz w:val="18"/>
      <w:szCs w:val="18"/>
      <w:lang w:val="en-US" w:eastAsia="zh-CN" w:bidi="ar-SA"/>
    </w:rPr>
  </w:style>
  <w:style w:type="paragraph" w:customStyle="1" w:styleId="22">
    <w:name w:val="Char1"/>
    <w:basedOn w:val="1"/>
    <w:qFormat/>
    <w:uiPriority w:val="0"/>
    <w:pPr>
      <w:tabs>
        <w:tab w:val="left" w:pos="360"/>
      </w:tabs>
    </w:pPr>
    <w:rPr>
      <w:rFonts w:eastAsia="仿宋_GB2312"/>
      <w:sz w:val="24"/>
      <w:szCs w:val="36"/>
    </w:rPr>
  </w:style>
  <w:style w:type="character" w:customStyle="1" w:styleId="23">
    <w:name w:val="样式 (西文) 仿宋_GB2312 四号"/>
    <w:qFormat/>
    <w:uiPriority w:val="0"/>
    <w:rPr>
      <w:rFonts w:ascii="Arial" w:hAnsi="Arial" w:eastAsia="仿宋_GB2312"/>
      <w:sz w:val="28"/>
    </w:rPr>
  </w:style>
  <w:style w:type="character" w:customStyle="1" w:styleId="24">
    <w:name w:val="h1231"/>
    <w:qFormat/>
    <w:uiPriority w:val="0"/>
    <w:rPr>
      <w:rFonts w:hint="default" w:ascii="ˎ̥" w:hAnsi="ˎ̥"/>
      <w:color w:val="000000"/>
      <w:sz w:val="28"/>
      <w:szCs w:val="28"/>
      <w:u w:val="none"/>
    </w:rPr>
  </w:style>
  <w:style w:type="character" w:customStyle="1" w:styleId="25">
    <w:name w:val="font51"/>
    <w:basedOn w:val="17"/>
    <w:qFormat/>
    <w:uiPriority w:val="0"/>
    <w:rPr>
      <w:rFonts w:hint="eastAsia" w:ascii="宋体" w:hAnsi="宋体" w:eastAsia="宋体"/>
      <w:color w:val="000000"/>
      <w:sz w:val="22"/>
      <w:szCs w:val="22"/>
      <w:u w:val="none"/>
    </w:rPr>
  </w:style>
  <w:style w:type="character" w:customStyle="1" w:styleId="26">
    <w:name w:val="font31"/>
    <w:basedOn w:val="17"/>
    <w:qFormat/>
    <w:uiPriority w:val="0"/>
    <w:rPr>
      <w:rFonts w:hint="eastAsia" w:ascii="宋体" w:hAnsi="宋体" w:eastAsia="宋体"/>
      <w:color w:val="FF0000"/>
      <w:sz w:val="22"/>
      <w:szCs w:val="22"/>
      <w:u w:val="none"/>
    </w:rPr>
  </w:style>
  <w:style w:type="paragraph" w:customStyle="1" w:styleId="27">
    <w:name w:val="p0"/>
    <w:basedOn w:val="1"/>
    <w:qFormat/>
    <w:uiPriority w:val="0"/>
    <w:pPr>
      <w:widowControl/>
      <w:jc w:val="left"/>
    </w:pPr>
    <w:rPr>
      <w:rFonts w:eastAsia="宋体"/>
      <w:kern w:val="0"/>
      <w:sz w:val="21"/>
      <w:szCs w:val="21"/>
    </w:rPr>
  </w:style>
  <w:style w:type="character" w:customStyle="1" w:styleId="28">
    <w:name w:val=" Char Char1"/>
    <w:basedOn w:val="17"/>
    <w:link w:val="12"/>
    <w:semiHidden/>
    <w:qFormat/>
    <w:locked/>
    <w:uiPriority w:val="0"/>
    <w:rPr>
      <w:rFonts w:eastAsia="仿宋_GB2312"/>
      <w:kern w:val="2"/>
      <w:sz w:val="18"/>
      <w:szCs w:val="18"/>
      <w:lang w:val="en-US" w:eastAsia="zh-CN" w:bidi="ar-SA"/>
    </w:rPr>
  </w:style>
  <w:style w:type="character" w:customStyle="1" w:styleId="29">
    <w:name w:val="font01"/>
    <w:basedOn w:val="17"/>
    <w:qFormat/>
    <w:uiPriority w:val="0"/>
    <w:rPr>
      <w:rFonts w:hint="default" w:ascii="Calibri" w:hAnsi="Calibri"/>
      <w:color w:val="000000"/>
      <w:sz w:val="22"/>
      <w:szCs w:val="22"/>
      <w:u w:val="none"/>
    </w:rPr>
  </w:style>
  <w:style w:type="paragraph" w:customStyle="1" w:styleId="30">
    <w:name w:val="列出段落"/>
    <w:basedOn w:val="1"/>
    <w:qFormat/>
    <w:uiPriority w:val="0"/>
    <w:pPr>
      <w:ind w:firstLine="420" w:firstLineChars="200"/>
    </w:pPr>
    <w:rPr>
      <w:rFonts w:ascii="Calibri" w:hAnsi="Calibri" w:eastAsia="宋体"/>
      <w:sz w:val="21"/>
      <w:szCs w:val="24"/>
    </w:rPr>
  </w:style>
  <w:style w:type="paragraph" w:customStyle="1" w:styleId="31">
    <w:name w:val="Table Paragraph"/>
    <w:basedOn w:val="1"/>
    <w:qFormat/>
    <w:uiPriority w:val="0"/>
    <w:rPr>
      <w:rFonts w:ascii="宋体" w:hAnsi="宋体" w:eastAsia="宋体" w:cs="宋体"/>
      <w:sz w:val="21"/>
      <w:szCs w:val="24"/>
      <w:lang w:val="zh-CN" w:bidi="zh-CN"/>
    </w:rPr>
  </w:style>
  <w:style w:type="character" w:customStyle="1" w:styleId="32">
    <w:name w:val="font41"/>
    <w:basedOn w:val="17"/>
    <w:qFormat/>
    <w:uiPriority w:val="0"/>
    <w:rPr>
      <w:rFonts w:ascii="仿宋_GB2312" w:eastAsia="仿宋_GB2312" w:cs="仿宋_GB2312"/>
      <w:color w:val="000000"/>
      <w:sz w:val="30"/>
      <w:szCs w:val="30"/>
      <w:u w:val="none"/>
    </w:rPr>
  </w:style>
  <w:style w:type="paragraph" w:customStyle="1" w:styleId="33">
    <w:name w:val="普通(网站)1"/>
    <w:basedOn w:val="1"/>
    <w:qFormat/>
    <w:uiPriority w:val="0"/>
    <w:pPr>
      <w:spacing w:before="100" w:beforeAutospacing="1" w:after="100" w:afterAutospacing="1" w:line="480" w:lineRule="auto"/>
    </w:pPr>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tiff"/><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19</Pages>
  <Words>8849</Words>
  <Characters>8991</Characters>
  <Lines>37</Lines>
  <Paragraphs>10</Paragraphs>
  <TotalTime>14</TotalTime>
  <ScaleCrop>false</ScaleCrop>
  <LinksUpToDate>false</LinksUpToDate>
  <CharactersWithSpaces>9023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2022-08-03T06:48:00Z</dcterms:created>
  <dc:creator>微软用户</dc:creator>
  <cp:lastModifiedBy>青春献给</cp:lastModifiedBy>
  <cp:lastPrinted>2024-07-10T07:17:00Z</cp:lastPrinted>
  <dcterms:modified xsi:type="dcterms:W3CDTF">2024-12-29T09:30:36Z</dcterms:modified>
  <dc:title>济发改投资［２００7］　　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8EB69650C7C741B8A80256EEFA413ADB_13</vt:lpwstr>
  </property>
</Properties>
</file>